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FC" w:rsidRDefault="006B17FC" w:rsidP="006B17F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Assignment  2</w:t>
      </w:r>
      <w:proofErr w:type="gramEnd"/>
    </w:p>
    <w:p w:rsidR="006B17FC" w:rsidRPr="004418CA" w:rsidRDefault="006B17FC" w:rsidP="006B17FC">
      <w:pPr>
        <w:jc w:val="center"/>
        <w:rPr>
          <w:b/>
          <w:sz w:val="36"/>
          <w:szCs w:val="36"/>
        </w:rPr>
      </w:pPr>
    </w:p>
    <w:p w:rsidR="006B17FC" w:rsidRDefault="006B17FC" w:rsidP="006B17FC">
      <w:proofErr w:type="gramStart"/>
      <w:r w:rsidRPr="00D011AC">
        <w:rPr>
          <w:i/>
          <w:u w:val="single"/>
        </w:rPr>
        <w:t xml:space="preserve">Module </w:t>
      </w:r>
      <w:r>
        <w:t>:</w:t>
      </w:r>
      <w:proofErr w:type="gramEnd"/>
      <w:r>
        <w:t xml:space="preserve"> CF963 –Learning and Computational  Intelligence in Economics and Finance (CF963-7-AU)</w:t>
      </w:r>
    </w:p>
    <w:p w:rsidR="006B17FC" w:rsidRDefault="006B17FC" w:rsidP="006B17FC"/>
    <w:p w:rsidR="006B17FC" w:rsidRDefault="006B17FC" w:rsidP="006B17FC">
      <w:r w:rsidRPr="00D011AC">
        <w:rPr>
          <w:i/>
          <w:u w:val="single"/>
        </w:rPr>
        <w:t>Year</w:t>
      </w:r>
      <w:r>
        <w:t>: 2011-2012</w:t>
      </w:r>
    </w:p>
    <w:p w:rsidR="006B17FC" w:rsidRDefault="006B17FC" w:rsidP="006B17FC"/>
    <w:p w:rsidR="006B17FC" w:rsidRDefault="006B17FC" w:rsidP="006B17FC">
      <w:r w:rsidRPr="00D011AC">
        <w:rPr>
          <w:i/>
          <w:u w:val="single"/>
        </w:rPr>
        <w:t>Professor</w:t>
      </w:r>
      <w:r>
        <w:t>: Edward Tsang</w:t>
      </w:r>
    </w:p>
    <w:p w:rsidR="006B17FC" w:rsidRDefault="006B17FC" w:rsidP="006B17FC"/>
    <w:p w:rsidR="006B17FC" w:rsidRDefault="006B17FC" w:rsidP="006B17FC">
      <w:r w:rsidRPr="00D011AC">
        <w:rPr>
          <w:i/>
          <w:u w:val="single"/>
        </w:rPr>
        <w:t>Department</w:t>
      </w:r>
      <w:r>
        <w:t>: CCFEA, University of Essex</w:t>
      </w:r>
    </w:p>
    <w:p w:rsidR="006B17FC" w:rsidRDefault="006B17FC" w:rsidP="006B17FC"/>
    <w:p w:rsidR="006B17FC" w:rsidRDefault="006B17FC" w:rsidP="006B17FC">
      <w:r w:rsidRPr="00D011AC">
        <w:rPr>
          <w:i/>
          <w:u w:val="single"/>
        </w:rPr>
        <w:t>Course</w:t>
      </w:r>
      <w:r>
        <w:t>: MSc Computational Finance</w:t>
      </w:r>
    </w:p>
    <w:p w:rsidR="006B17FC" w:rsidRDefault="006B17FC" w:rsidP="006B17FC"/>
    <w:p w:rsidR="006B17FC" w:rsidRDefault="006B17FC" w:rsidP="006B17FC">
      <w:r w:rsidRPr="00D011AC">
        <w:rPr>
          <w:i/>
          <w:u w:val="single"/>
        </w:rPr>
        <w:t>Student</w:t>
      </w:r>
      <w:r>
        <w:t xml:space="preserve">: Riccardo Valerio </w:t>
      </w:r>
      <w:proofErr w:type="spellStart"/>
      <w:r>
        <w:t>Lattanzi</w:t>
      </w:r>
      <w:proofErr w:type="spellEnd"/>
    </w:p>
    <w:p w:rsidR="006B17FC" w:rsidRDefault="006B17FC" w:rsidP="006B17FC"/>
    <w:p w:rsidR="006B17FC" w:rsidRDefault="006B17FC" w:rsidP="006B17FC">
      <w:r w:rsidRPr="00715DBA">
        <w:rPr>
          <w:i/>
          <w:u w:val="single"/>
        </w:rPr>
        <w:t>PRID</w:t>
      </w:r>
      <w:r>
        <w:t>: LATTA96007</w:t>
      </w:r>
    </w:p>
    <w:p w:rsidR="006B17FC" w:rsidRPr="004418CA" w:rsidRDefault="006B17FC" w:rsidP="006B17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Report</w:t>
      </w:r>
    </w:p>
    <w:p w:rsidR="00F550F7" w:rsidRDefault="00F550F7"/>
    <w:p w:rsidR="00AB7C21" w:rsidRDefault="00AB7C21" w:rsidP="003D4623">
      <w:pPr>
        <w:jc w:val="both"/>
      </w:pPr>
      <w:r>
        <w:tab/>
        <w:t>The aim of this work is finding the optimal portfolio that represents the best trade-</w:t>
      </w:r>
      <w:proofErr w:type="gramStart"/>
      <w:r>
        <w:t>off  between</w:t>
      </w:r>
      <w:proofErr w:type="gramEnd"/>
      <w:r>
        <w:t xml:space="preserve"> risk</w:t>
      </w:r>
      <w:r w:rsidR="004426B6">
        <w:t xml:space="preserve"> and return</w:t>
      </w:r>
      <w:r>
        <w:t>.</w:t>
      </w:r>
      <w:r w:rsidR="00063458">
        <w:t xml:space="preserve"> In orde</w:t>
      </w:r>
      <w:r>
        <w:t>r to achieve this result</w:t>
      </w:r>
      <w:r w:rsidR="003D4623">
        <w:t xml:space="preserve"> I chose to start my work by considering the general framework provided by the “Modern Portfolio Theory”</w:t>
      </w:r>
      <w:r w:rsidR="000A6292">
        <w:t xml:space="preserve"> (MPT)</w:t>
      </w:r>
      <w:r w:rsidR="003D4623">
        <w:t xml:space="preserve"> introduced by Harry </w:t>
      </w:r>
      <w:proofErr w:type="spellStart"/>
      <w:proofErr w:type="gramStart"/>
      <w:r w:rsidR="003D4623">
        <w:t>Markovitz</w:t>
      </w:r>
      <w:proofErr w:type="spellEnd"/>
      <w:r w:rsidR="003D4623">
        <w:t xml:space="preserve">  in</w:t>
      </w:r>
      <w:proofErr w:type="gramEnd"/>
      <w:r w:rsidR="003D4623">
        <w:t xml:space="preserve"> 1952 (source: “en.wikipedia.org”).</w:t>
      </w:r>
      <w:r w:rsidR="00BF4098">
        <w:t xml:space="preserve"> Th</w:t>
      </w:r>
      <w:r w:rsidR="00406711">
        <w:t xml:space="preserve">is model is a two-parameter portfolio analysis model </w:t>
      </w:r>
      <w:proofErr w:type="gramStart"/>
      <w:r w:rsidR="00406711">
        <w:t>(</w:t>
      </w:r>
      <w:r w:rsidR="005C7131">
        <w:t xml:space="preserve"> </w:t>
      </w:r>
      <w:r w:rsidR="00D00E77">
        <w:t>“</w:t>
      </w:r>
      <w:proofErr w:type="gramEnd"/>
      <w:r w:rsidR="00D00E77">
        <w:t>Investment mathematics”- 2003</w:t>
      </w:r>
      <w:r w:rsidR="00B85B60">
        <w:t>, p</w:t>
      </w:r>
      <w:r w:rsidR="00D00E77">
        <w:t xml:space="preserve">.229) because </w:t>
      </w:r>
      <w:r w:rsidR="005C7131">
        <w:t>it assumes that a portfolio of “</w:t>
      </w:r>
      <w:r w:rsidR="005C7131" w:rsidRPr="005C7131">
        <w:rPr>
          <w:b/>
        </w:rPr>
        <w:t>n</w:t>
      </w:r>
      <w:r w:rsidR="005C7131">
        <w:t>” assets can be described by two parameters, the “</w:t>
      </w:r>
      <w:r w:rsidR="00027147">
        <w:t xml:space="preserve"> </w:t>
      </w:r>
      <w:r w:rsidR="00027147" w:rsidRPr="003B6A76">
        <w:rPr>
          <w:b/>
        </w:rPr>
        <w:t xml:space="preserve">Portfolio </w:t>
      </w:r>
      <w:r w:rsidR="005C7131" w:rsidRPr="003B6A76">
        <w:rPr>
          <w:b/>
        </w:rPr>
        <w:t>Expected return</w:t>
      </w:r>
      <w:r w:rsidR="005C7131">
        <w:t>” and the “</w:t>
      </w:r>
      <w:r w:rsidR="005C7131" w:rsidRPr="003B6A76">
        <w:rPr>
          <w:b/>
        </w:rPr>
        <w:t>Portfolio Risk</w:t>
      </w:r>
      <w:r w:rsidR="005C7131">
        <w:t>”. Gi</w:t>
      </w:r>
      <w:r w:rsidR="009F4761">
        <w:t xml:space="preserve">ven a set of weights </w:t>
      </w:r>
      <w:proofErr w:type="spellStart"/>
      <w:proofErr w:type="gramStart"/>
      <w:r w:rsidR="009F4761" w:rsidRPr="00FC3306">
        <w:rPr>
          <w:b/>
        </w:rPr>
        <w:t>w</w:t>
      </w:r>
      <w:r w:rsidR="005C7131" w:rsidRPr="00FC3306">
        <w:rPr>
          <w:b/>
          <w:vertAlign w:val="subscript"/>
        </w:rPr>
        <w:t>i</w:t>
      </w:r>
      <w:proofErr w:type="spellEnd"/>
      <w:r w:rsidR="005C7131" w:rsidRPr="00FC3306">
        <w:rPr>
          <w:b/>
        </w:rPr>
        <w:t xml:space="preserve"> </w:t>
      </w:r>
      <w:r w:rsidR="005C7131">
        <w:t xml:space="preserve"> with</w:t>
      </w:r>
      <w:proofErr w:type="gramEnd"/>
      <w:r w:rsidR="005C7131">
        <w:t xml:space="preserve"> </w:t>
      </w:r>
      <w:proofErr w:type="spellStart"/>
      <w:r w:rsidR="005C7131">
        <w:t>i</w:t>
      </w:r>
      <w:proofErr w:type="spellEnd"/>
      <w:r w:rsidR="005C7131">
        <w:t>=1,…,n</w:t>
      </w:r>
      <w:r w:rsidR="00437575">
        <w:t xml:space="preserve"> that are assigned to each asset</w:t>
      </w:r>
      <w:r w:rsidR="00027147">
        <w:t>,</w:t>
      </w:r>
      <w:r w:rsidR="00437575">
        <w:t xml:space="preserve"> we can define the </w:t>
      </w:r>
      <w:r w:rsidR="009F4761">
        <w:t xml:space="preserve">Portfolio </w:t>
      </w:r>
      <w:r w:rsidR="00437575">
        <w:t xml:space="preserve">Expected Return </w:t>
      </w:r>
      <w:r w:rsidR="00437575" w:rsidRPr="00FC3306">
        <w:rPr>
          <w:b/>
        </w:rPr>
        <w:t>E[</w:t>
      </w:r>
      <w:r w:rsidR="00CA7699" w:rsidRPr="00FC3306">
        <w:rPr>
          <w:b/>
        </w:rPr>
        <w:t>r</w:t>
      </w:r>
      <w:r w:rsidR="00437575" w:rsidRPr="00FC3306">
        <w:rPr>
          <w:b/>
        </w:rPr>
        <w:t xml:space="preserve">] </w:t>
      </w:r>
      <w:r w:rsidR="00437575">
        <w:t>as:</w:t>
      </w:r>
    </w:p>
    <w:p w:rsidR="00437575" w:rsidRDefault="00437575" w:rsidP="003D4623">
      <w:pPr>
        <w:jc w:val="both"/>
      </w:pPr>
    </w:p>
    <w:p w:rsidR="00437575" w:rsidRDefault="00437575" w:rsidP="00CA7699">
      <w:pPr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="00CA7699">
        <w:rPr>
          <w:rFonts w:eastAsiaTheme="minorEastAsia"/>
        </w:rPr>
        <w:t xml:space="preserve"> ,</w:t>
      </w:r>
    </w:p>
    <w:p w:rsidR="00CA7699" w:rsidRDefault="00CA7699" w:rsidP="00CA7699">
      <w:pPr>
        <w:jc w:val="center"/>
        <w:rPr>
          <w:rFonts w:eastAsiaTheme="minorEastAsia"/>
        </w:rPr>
      </w:pPr>
    </w:p>
    <w:p w:rsidR="00CA7699" w:rsidRDefault="007F05E3" w:rsidP="00CA7699">
      <w:pPr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w</w:t>
      </w:r>
      <w:r w:rsidR="009F4761">
        <w:rPr>
          <w:rFonts w:eastAsiaTheme="minorEastAsia"/>
        </w:rPr>
        <w:t>here</w:t>
      </w:r>
      <w:proofErr w:type="gramEnd"/>
      <w:r w:rsidR="009F4761">
        <w:rPr>
          <w:rFonts w:eastAsiaTheme="minorEastAsia"/>
        </w:rPr>
        <w:t xml:space="preserve"> “</w:t>
      </w:r>
      <w:proofErr w:type="spellStart"/>
      <w:r w:rsidR="009F4761" w:rsidRPr="00FC3306">
        <w:rPr>
          <w:rFonts w:eastAsiaTheme="minorEastAsia"/>
          <w:b/>
        </w:rPr>
        <w:t>r</w:t>
      </w:r>
      <w:r w:rsidR="009F4761" w:rsidRPr="00FC3306">
        <w:rPr>
          <w:rFonts w:eastAsiaTheme="minorEastAsia"/>
          <w:b/>
          <w:vertAlign w:val="subscript"/>
        </w:rPr>
        <w:t>i</w:t>
      </w:r>
      <w:proofErr w:type="spellEnd"/>
      <w:r w:rsidR="009F4761">
        <w:rPr>
          <w:rFonts w:eastAsiaTheme="minorEastAsia"/>
        </w:rPr>
        <w:t>” are the single returns</w:t>
      </w:r>
      <w:r w:rsidR="00027147">
        <w:rPr>
          <w:rFonts w:eastAsiaTheme="minorEastAsia"/>
        </w:rPr>
        <w:t>,</w:t>
      </w:r>
      <w:r w:rsidR="009F4761">
        <w:rPr>
          <w:rFonts w:eastAsiaTheme="minorEastAsia"/>
        </w:rPr>
        <w:t xml:space="preserve"> </w:t>
      </w:r>
      <w:r w:rsidR="00CA7699">
        <w:rPr>
          <w:rFonts w:eastAsiaTheme="minorEastAsia"/>
        </w:rPr>
        <w:t xml:space="preserve">and the Portfolio Risk </w:t>
      </w:r>
      <w:r w:rsidR="00475602" w:rsidRPr="00FC3306">
        <w:rPr>
          <w:rFonts w:eastAsiaTheme="minorEastAsia" w:cstheme="minorHAnsi"/>
          <w:b/>
        </w:rPr>
        <w:t>σ</w:t>
      </w:r>
      <w:r w:rsidR="00475602" w:rsidRPr="00FC3306">
        <w:rPr>
          <w:rFonts w:eastAsiaTheme="minorEastAsia"/>
          <w:b/>
        </w:rPr>
        <w:t>(p)</w:t>
      </w:r>
      <w:r w:rsidR="00475602">
        <w:rPr>
          <w:rFonts w:eastAsiaTheme="minorEastAsia"/>
        </w:rPr>
        <w:t xml:space="preserve"> </w:t>
      </w:r>
      <w:r w:rsidR="00CA7699">
        <w:rPr>
          <w:rFonts w:eastAsiaTheme="minorEastAsia"/>
        </w:rPr>
        <w:t>as:</w:t>
      </w:r>
    </w:p>
    <w:p w:rsidR="00CA7699" w:rsidRDefault="00CA7699" w:rsidP="00CA7699">
      <w:pPr>
        <w:jc w:val="both"/>
        <w:rPr>
          <w:rFonts w:eastAsiaTheme="minorEastAsia"/>
        </w:rPr>
      </w:pPr>
    </w:p>
    <w:p w:rsidR="00CA7699" w:rsidRDefault="00475602" w:rsidP="00CA7699">
      <w:pPr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σ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</m:sub>
                    </m:sSub>
                  </m:e>
                </m:nary>
              </m:e>
            </m:nary>
          </m:e>
        </m:rad>
      </m:oMath>
      <w:r>
        <w:rPr>
          <w:rFonts w:eastAsiaTheme="minorEastAsia"/>
        </w:rPr>
        <w:t xml:space="preserve"> ,</w:t>
      </w:r>
    </w:p>
    <w:p w:rsidR="00475602" w:rsidRDefault="00475602" w:rsidP="00475602">
      <w:pPr>
        <w:jc w:val="both"/>
        <w:rPr>
          <w:rFonts w:eastAsiaTheme="minorEastAsia"/>
        </w:rPr>
      </w:pPr>
    </w:p>
    <w:p w:rsidR="00475602" w:rsidRDefault="007F05E3" w:rsidP="00475602">
      <w:pPr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w</w:t>
      </w:r>
      <w:r w:rsidR="00475602">
        <w:rPr>
          <w:rFonts w:eastAsiaTheme="minorEastAsia"/>
        </w:rPr>
        <w:t>here</w:t>
      </w:r>
      <w:proofErr w:type="gramEnd"/>
      <w:r w:rsidR="00475602">
        <w:rPr>
          <w:rFonts w:eastAsiaTheme="minorEastAsia"/>
        </w:rPr>
        <w:t xml:space="preserve"> </w:t>
      </w:r>
      <w:r w:rsidR="003B6A76">
        <w:rPr>
          <w:rFonts w:eastAsiaTheme="minorEastAsia"/>
        </w:rPr>
        <w:t>“</w:t>
      </w:r>
      <w:proofErr w:type="spellStart"/>
      <w:r w:rsidR="00475602" w:rsidRPr="00FC3306">
        <w:rPr>
          <w:rFonts w:eastAsiaTheme="minorEastAsia" w:cstheme="minorHAnsi"/>
          <w:b/>
        </w:rPr>
        <w:t>σ</w:t>
      </w:r>
      <w:r w:rsidR="00475602" w:rsidRPr="00FC3306">
        <w:rPr>
          <w:rFonts w:eastAsiaTheme="minorEastAsia"/>
          <w:b/>
          <w:vertAlign w:val="subscript"/>
        </w:rPr>
        <w:t>ij</w:t>
      </w:r>
      <w:proofErr w:type="spellEnd"/>
      <w:r w:rsidR="003B6A76" w:rsidRPr="003B6A76">
        <w:rPr>
          <w:rFonts w:eastAsiaTheme="minorEastAsia"/>
        </w:rPr>
        <w:t>”</w:t>
      </w:r>
      <w:r w:rsidR="00475602">
        <w:rPr>
          <w:rFonts w:eastAsiaTheme="minorEastAsia"/>
        </w:rPr>
        <w:t xml:space="preserve"> is the covariance </w:t>
      </w:r>
      <w:r w:rsidR="00F3708C">
        <w:rPr>
          <w:rFonts w:eastAsiaTheme="minorEastAsia"/>
        </w:rPr>
        <w:t>bet</w:t>
      </w:r>
      <w:r w:rsidR="00475602">
        <w:rPr>
          <w:rFonts w:eastAsiaTheme="minorEastAsia"/>
        </w:rPr>
        <w:t>ween asset “</w:t>
      </w:r>
      <w:proofErr w:type="spellStart"/>
      <w:r w:rsidR="00475602">
        <w:rPr>
          <w:rFonts w:eastAsiaTheme="minorEastAsia"/>
        </w:rPr>
        <w:t>i</w:t>
      </w:r>
      <w:proofErr w:type="spellEnd"/>
      <w:r w:rsidR="00475602">
        <w:rPr>
          <w:rFonts w:eastAsiaTheme="minorEastAsia"/>
        </w:rPr>
        <w:t>” and asset “j”</w:t>
      </w:r>
      <w:r w:rsidR="00B85B60">
        <w:rPr>
          <w:rFonts w:eastAsiaTheme="minorEastAsia"/>
        </w:rPr>
        <w:t xml:space="preserve"> (“Investment Science” 1998, p</w:t>
      </w:r>
      <w:r w:rsidR="00475602">
        <w:rPr>
          <w:rFonts w:eastAsiaTheme="minorEastAsia"/>
        </w:rPr>
        <w:t>.</w:t>
      </w:r>
      <w:r w:rsidR="00B85B60">
        <w:rPr>
          <w:rFonts w:eastAsiaTheme="minorEastAsia"/>
        </w:rPr>
        <w:t>150).</w:t>
      </w:r>
    </w:p>
    <w:p w:rsidR="003B6A76" w:rsidRDefault="003C796B" w:rsidP="00475602">
      <w:pPr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Another very important concept provided by </w:t>
      </w:r>
      <w:proofErr w:type="spellStart"/>
      <w:r>
        <w:rPr>
          <w:rFonts w:eastAsiaTheme="minorEastAsia"/>
        </w:rPr>
        <w:t>Markovitz</w:t>
      </w:r>
      <w:proofErr w:type="spellEnd"/>
      <w:r>
        <w:rPr>
          <w:rFonts w:eastAsiaTheme="minorEastAsia"/>
        </w:rPr>
        <w:t xml:space="preserve"> is the</w:t>
      </w:r>
      <w:r w:rsidR="000A6292">
        <w:rPr>
          <w:rFonts w:eastAsiaTheme="minorEastAsia"/>
        </w:rPr>
        <w:t xml:space="preserve"> idea of “</w:t>
      </w:r>
      <w:r w:rsidR="000A6292">
        <w:rPr>
          <w:rFonts w:eastAsiaTheme="minorEastAsia"/>
          <w:b/>
          <w:i/>
        </w:rPr>
        <w:t>diver</w:t>
      </w:r>
      <w:r w:rsidR="000A6292" w:rsidRPr="000A6292">
        <w:rPr>
          <w:rFonts w:eastAsiaTheme="minorEastAsia"/>
          <w:b/>
          <w:i/>
        </w:rPr>
        <w:t>sif</w:t>
      </w:r>
      <w:r w:rsidR="000A6292">
        <w:rPr>
          <w:rFonts w:eastAsiaTheme="minorEastAsia"/>
          <w:b/>
          <w:i/>
        </w:rPr>
        <w:t>i</w:t>
      </w:r>
      <w:r w:rsidR="000A6292" w:rsidRPr="000A6292">
        <w:rPr>
          <w:rFonts w:eastAsiaTheme="minorEastAsia"/>
          <w:b/>
          <w:i/>
        </w:rPr>
        <w:t>cation</w:t>
      </w:r>
      <w:r w:rsidR="000A6292">
        <w:rPr>
          <w:rFonts w:eastAsiaTheme="minorEastAsia"/>
        </w:rPr>
        <w:t xml:space="preserve">”, one of the pillars of the MPT. Briefly, it states that the variance of the return of </w:t>
      </w:r>
      <w:proofErr w:type="gramStart"/>
      <w:r w:rsidR="000A6292">
        <w:rPr>
          <w:rFonts w:eastAsiaTheme="minorEastAsia"/>
        </w:rPr>
        <w:t>a  portfolio</w:t>
      </w:r>
      <w:proofErr w:type="gramEnd"/>
      <w:r w:rsidR="000A6292">
        <w:rPr>
          <w:rFonts w:eastAsiaTheme="minorEastAsia"/>
        </w:rPr>
        <w:t xml:space="preserve"> can be reduced by including additional assets in the portfolio </w:t>
      </w:r>
      <w:r w:rsidR="000A6292">
        <w:rPr>
          <w:rFonts w:eastAsiaTheme="minorEastAsia"/>
        </w:rPr>
        <w:t>(“Investment Science” 1998, p.</w:t>
      </w:r>
      <w:r w:rsidR="000A6292">
        <w:rPr>
          <w:rFonts w:eastAsiaTheme="minorEastAsia"/>
        </w:rPr>
        <w:t>151</w:t>
      </w:r>
      <w:r w:rsidR="000A6292">
        <w:rPr>
          <w:rFonts w:eastAsiaTheme="minorEastAsia"/>
        </w:rPr>
        <w:t>)</w:t>
      </w:r>
      <w:r w:rsidR="00027147">
        <w:rPr>
          <w:rFonts w:eastAsiaTheme="minorEastAsia"/>
        </w:rPr>
        <w:t xml:space="preserve">. This </w:t>
      </w:r>
      <w:proofErr w:type="gramStart"/>
      <w:r w:rsidR="00027147">
        <w:rPr>
          <w:rFonts w:eastAsiaTheme="minorEastAsia"/>
        </w:rPr>
        <w:t>helps  the</w:t>
      </w:r>
      <w:proofErr w:type="gramEnd"/>
      <w:r w:rsidR="00027147">
        <w:rPr>
          <w:rFonts w:eastAsiaTheme="minorEastAsia"/>
        </w:rPr>
        <w:t xml:space="preserve"> investor to find the portfolio with the minimum risk and the maximum return</w:t>
      </w:r>
      <w:r w:rsidR="003B6A76">
        <w:rPr>
          <w:rFonts w:eastAsiaTheme="minorEastAsia"/>
        </w:rPr>
        <w:t xml:space="preserve">, therefore the portfolio with the maximum </w:t>
      </w:r>
      <w:r w:rsidR="003B6A76" w:rsidRPr="003B6A76">
        <w:rPr>
          <w:rFonts w:eastAsiaTheme="minorEastAsia"/>
          <w:b/>
        </w:rPr>
        <w:t>Sharpe Ratio</w:t>
      </w:r>
      <w:r w:rsidR="003B6A76">
        <w:rPr>
          <w:rFonts w:eastAsiaTheme="minorEastAsia"/>
        </w:rPr>
        <w:t xml:space="preserve">  “</w:t>
      </w:r>
      <w:r w:rsidR="003B6A76" w:rsidRPr="003B6A76">
        <w:rPr>
          <w:rFonts w:eastAsiaTheme="minorEastAsia"/>
          <w:b/>
        </w:rPr>
        <w:t>S</w:t>
      </w:r>
      <w:r w:rsidR="003B6A76">
        <w:rPr>
          <w:rFonts w:eastAsiaTheme="minorEastAsia"/>
        </w:rPr>
        <w:t xml:space="preserve">” where </w:t>
      </w:r>
      <w:r w:rsidR="003B6A76" w:rsidRPr="001172E9">
        <w:rPr>
          <w:rFonts w:eastAsiaTheme="minorEastAsia"/>
          <w:b/>
        </w:rPr>
        <w:t>S</w:t>
      </w:r>
      <w:r w:rsidR="003B6A76">
        <w:rPr>
          <w:rFonts w:eastAsiaTheme="minorEastAsia"/>
        </w:rPr>
        <w:t xml:space="preserve"> can be defined as:</w:t>
      </w:r>
    </w:p>
    <w:p w:rsidR="003B6A76" w:rsidRDefault="003B6A76" w:rsidP="00475602">
      <w:pPr>
        <w:jc w:val="both"/>
        <w:rPr>
          <w:rFonts w:eastAsiaTheme="minorEastAsia"/>
        </w:rPr>
      </w:pPr>
    </w:p>
    <w:p w:rsidR="003C796B" w:rsidRDefault="003B6A76" w:rsidP="003B6A76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σ(p)</m:t>
            </m:r>
          </m:den>
        </m:f>
      </m:oMath>
      <w:r w:rsidRPr="003B6A7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>,</w:t>
      </w:r>
    </w:p>
    <w:p w:rsidR="003B6A76" w:rsidRDefault="003B6A76" w:rsidP="003B6A76">
      <w:pPr>
        <w:jc w:val="center"/>
        <w:rPr>
          <w:rFonts w:eastAsiaTheme="minorEastAsia"/>
        </w:rPr>
      </w:pPr>
    </w:p>
    <w:p w:rsidR="003B6A76" w:rsidRDefault="003B6A76" w:rsidP="003B6A76">
      <w:pPr>
        <w:jc w:val="both"/>
        <w:rPr>
          <w:rFonts w:eastAsiaTheme="minorEastAsia"/>
        </w:rPr>
      </w:pPr>
      <w:r>
        <w:rPr>
          <w:rFonts w:eastAsiaTheme="minorEastAsia"/>
        </w:rPr>
        <w:t>With “</w:t>
      </w:r>
      <w:proofErr w:type="spellStart"/>
      <w:r w:rsidRPr="003B6A76">
        <w:rPr>
          <w:rFonts w:eastAsiaTheme="minorEastAsia"/>
          <w:b/>
        </w:rPr>
        <w:t>r</w:t>
      </w:r>
      <w:r w:rsidRPr="003B6A76">
        <w:rPr>
          <w:rFonts w:eastAsiaTheme="minorEastAsia"/>
          <w:b/>
          <w:vertAlign w:val="subscript"/>
        </w:rPr>
        <w:t>f</w:t>
      </w:r>
      <w:proofErr w:type="spellEnd"/>
      <w:r>
        <w:rPr>
          <w:rFonts w:eastAsiaTheme="minorEastAsia"/>
        </w:rPr>
        <w:t>”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risk-free rate (</w:t>
      </w:r>
      <w:r>
        <w:t>“Investment mathematics”- 2003, p</w:t>
      </w:r>
      <w:r>
        <w:t>.295</w:t>
      </w:r>
      <w:proofErr w:type="gramStart"/>
      <w:r>
        <w:t>)</w:t>
      </w:r>
      <w:r>
        <w:rPr>
          <w:rFonts w:eastAsiaTheme="minorEastAsia"/>
        </w:rPr>
        <w:t xml:space="preserve"> .</w:t>
      </w:r>
      <w:proofErr w:type="gramEnd"/>
    </w:p>
    <w:p w:rsidR="00983936" w:rsidRDefault="00983936" w:rsidP="003B6A76">
      <w:pPr>
        <w:jc w:val="both"/>
        <w:rPr>
          <w:rFonts w:eastAsiaTheme="minorEastAsia"/>
        </w:rPr>
      </w:pPr>
    </w:p>
    <w:p w:rsidR="00983936" w:rsidRPr="003B6A76" w:rsidRDefault="00983936" w:rsidP="003B6A76">
      <w:pPr>
        <w:jc w:val="both"/>
        <w:rPr>
          <w:rFonts w:eastAsiaTheme="minorEastAsia"/>
        </w:rPr>
      </w:pPr>
    </w:p>
    <w:p w:rsidR="00EB3AF8" w:rsidRDefault="00EB3AF8" w:rsidP="00475602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ab/>
        <w:t>Starting from these assumptions I developed my model. The structure of the work is the following:</w:t>
      </w:r>
    </w:p>
    <w:p w:rsidR="00EB3AF8" w:rsidRDefault="00EB3AF8" w:rsidP="00475602">
      <w:pPr>
        <w:jc w:val="both"/>
        <w:rPr>
          <w:rFonts w:eastAsiaTheme="minorEastAsia"/>
        </w:rPr>
      </w:pPr>
    </w:p>
    <w:p w:rsidR="00EB3AF8" w:rsidRDefault="00804EEF" w:rsidP="00EB3AF8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I computed all the possible portfolios that we can </w:t>
      </w:r>
      <w:r w:rsidR="00EE60D5">
        <w:rPr>
          <w:rFonts w:eastAsiaTheme="minorEastAsia"/>
        </w:rPr>
        <w:t>generate</w:t>
      </w:r>
      <w:r>
        <w:rPr>
          <w:rFonts w:eastAsiaTheme="minorEastAsia"/>
        </w:rPr>
        <w:t xml:space="preserve"> by combining five different stocks chosen from a group of ten;</w:t>
      </w:r>
    </w:p>
    <w:p w:rsidR="00804EEF" w:rsidRDefault="00EE60D5" w:rsidP="00EB3AF8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I then computed the equally weighted </w:t>
      </w:r>
      <w:r w:rsidR="00411493">
        <w:rPr>
          <w:rFonts w:eastAsiaTheme="minorEastAsia"/>
        </w:rPr>
        <w:t>risk and return for each portfolio and the correspondent Sharpe Ratio;</w:t>
      </w:r>
    </w:p>
    <w:p w:rsidR="00411493" w:rsidRDefault="00411493" w:rsidP="00EB3AF8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I picked up the portfolio with the maximum Sharpe Ratio and I found, using the Excel “Solver” tool, the optimal weights that gave me the highest</w:t>
      </w:r>
      <w:r w:rsidR="00514E6E">
        <w:rPr>
          <w:rFonts w:eastAsiaTheme="minorEastAsia"/>
        </w:rPr>
        <w:t xml:space="preserve"> Sharpe Ratio;</w:t>
      </w:r>
    </w:p>
    <w:p w:rsidR="00514E6E" w:rsidRDefault="0030625E" w:rsidP="00EB3AF8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By taking into account that we are allowed to buy only integer number of stocks I computed</w:t>
      </w:r>
      <w:r w:rsidR="00AA74F9">
        <w:rPr>
          <w:rFonts w:eastAsiaTheme="minorEastAsia"/>
        </w:rPr>
        <w:t xml:space="preserve"> the new weights and the correspondent new Sharpe Ratio. In this case the amount of money invested in stocks was less than the initial </w:t>
      </w:r>
      <w:proofErr w:type="gramStart"/>
      <w:r w:rsidR="00AA74F9">
        <w:rPr>
          <w:rFonts w:eastAsiaTheme="minorEastAsia"/>
        </w:rPr>
        <w:t>investment,</w:t>
      </w:r>
      <w:proofErr w:type="gramEnd"/>
      <w:r w:rsidR="00AA74F9">
        <w:rPr>
          <w:rFonts w:eastAsiaTheme="minorEastAsia"/>
        </w:rPr>
        <w:t xml:space="preserve"> therefore I decided to invest the rest of the money at the risk-free rate.</w:t>
      </w:r>
    </w:p>
    <w:p w:rsidR="004E5AEB" w:rsidRDefault="004E5AEB" w:rsidP="00EB3AF8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The final result is :</w:t>
      </w:r>
    </w:p>
    <w:p w:rsidR="004E5AEB" w:rsidRDefault="004E5AEB" w:rsidP="004E5AEB">
      <w:pPr>
        <w:pStyle w:val="ListParagraph"/>
        <w:jc w:val="both"/>
        <w:rPr>
          <w:rFonts w:eastAsiaTheme="minorEastAsia"/>
        </w:rPr>
      </w:pPr>
    </w:p>
    <w:tbl>
      <w:tblPr>
        <w:tblW w:w="7384" w:type="dxa"/>
        <w:tblInd w:w="1590" w:type="dxa"/>
        <w:tblLook w:val="04A0" w:firstRow="1" w:lastRow="0" w:firstColumn="1" w:lastColumn="0" w:noHBand="0" w:noVBand="1"/>
      </w:tblPr>
      <w:tblGrid>
        <w:gridCol w:w="2160"/>
        <w:gridCol w:w="1640"/>
        <w:gridCol w:w="443"/>
        <w:gridCol w:w="1620"/>
        <w:gridCol w:w="679"/>
        <w:gridCol w:w="842"/>
      </w:tblGrid>
      <w:tr w:rsidR="004E5AEB" w:rsidRPr="004E5AEB" w:rsidTr="004E5AEB">
        <w:trPr>
          <w:trHeight w:val="315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Aharoni"/>
                <w:i/>
                <w:iCs/>
                <w:color w:val="FFFFFF"/>
                <w:sz w:val="28"/>
                <w:szCs w:val="28"/>
              </w:rPr>
            </w:pPr>
            <w:r w:rsidRPr="004E5AEB">
              <w:rPr>
                <w:rFonts w:ascii="Calibri" w:eastAsia="Times New Roman" w:hAnsi="Calibri" w:cs="Aharoni" w:hint="cs"/>
                <w:i/>
                <w:iCs/>
                <w:color w:val="FFFFFF"/>
                <w:sz w:val="28"/>
                <w:szCs w:val="28"/>
              </w:rPr>
              <w:t>Optimal values</w:t>
            </w:r>
          </w:p>
        </w:tc>
        <w:tc>
          <w:tcPr>
            <w:tcW w:w="5224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Aharoni"/>
                <w:i/>
                <w:iCs/>
                <w:color w:val="FFFFFF"/>
              </w:rPr>
            </w:pPr>
            <w:r w:rsidRPr="004E5AEB">
              <w:rPr>
                <w:rFonts w:ascii="Calibri" w:eastAsia="Times New Roman" w:hAnsi="Calibri" w:cs="Aharoni" w:hint="cs"/>
                <w:i/>
                <w:iCs/>
                <w:color w:val="FFFFFF"/>
              </w:rPr>
              <w:t xml:space="preserve"> Weights</w:t>
            </w:r>
          </w:p>
        </w:tc>
      </w:tr>
      <w:tr w:rsidR="004E5AEB" w:rsidRPr="004E5AEB" w:rsidTr="004E5AEB">
        <w:trPr>
          <w:trHeight w:val="3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AEB" w:rsidRPr="004E5AEB" w:rsidRDefault="004E5AEB" w:rsidP="004E5AEB">
            <w:pPr>
              <w:rPr>
                <w:rFonts w:ascii="Calibri" w:eastAsia="Times New Roman" w:hAnsi="Calibri" w:cs="Aharoni"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50"/>
            <w:noWrap/>
            <w:vAlign w:val="center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Aharoni"/>
                <w:i/>
                <w:iCs/>
                <w:color w:val="FFFFFF"/>
              </w:rPr>
            </w:pPr>
            <w:r w:rsidRPr="004E5AEB">
              <w:rPr>
                <w:rFonts w:ascii="Calibri" w:eastAsia="Times New Roman" w:hAnsi="Calibri" w:cs="Aharoni" w:hint="cs"/>
                <w:i/>
                <w:iCs/>
                <w:color w:val="FFFFFF"/>
              </w:rPr>
              <w:t>VOD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50"/>
            <w:noWrap/>
            <w:vAlign w:val="center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Aharoni"/>
                <w:i/>
                <w:iCs/>
                <w:color w:val="FFFFFF"/>
              </w:rPr>
            </w:pPr>
            <w:r w:rsidRPr="004E5AEB">
              <w:rPr>
                <w:rFonts w:ascii="Calibri" w:eastAsia="Times New Roman" w:hAnsi="Calibri" w:cs="Aharoni" w:hint="cs"/>
                <w:i/>
                <w:iCs/>
                <w:color w:val="FFFFFF"/>
              </w:rPr>
              <w:t>BT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50"/>
            <w:noWrap/>
            <w:vAlign w:val="center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Aharoni"/>
                <w:i/>
                <w:iCs/>
                <w:color w:val="FFFFFF"/>
              </w:rPr>
            </w:pPr>
            <w:r w:rsidRPr="004E5AEB">
              <w:rPr>
                <w:rFonts w:ascii="Calibri" w:eastAsia="Times New Roman" w:hAnsi="Calibri" w:cs="Aharoni" w:hint="cs"/>
                <w:i/>
                <w:iCs/>
                <w:color w:val="FFFFFF"/>
              </w:rPr>
              <w:t>BATS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50"/>
            <w:noWrap/>
            <w:vAlign w:val="center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Aharoni"/>
                <w:i/>
                <w:iCs/>
                <w:color w:val="FFFFFF"/>
              </w:rPr>
            </w:pPr>
            <w:r w:rsidRPr="004E5AEB">
              <w:rPr>
                <w:rFonts w:ascii="Calibri" w:eastAsia="Times New Roman" w:hAnsi="Calibri" w:cs="Aharoni" w:hint="cs"/>
                <w:i/>
                <w:iCs/>
                <w:color w:val="FFFFFF"/>
              </w:rPr>
              <w:t>IMT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Aharoni"/>
                <w:i/>
                <w:iCs/>
                <w:color w:val="FFFFFF"/>
              </w:rPr>
            </w:pPr>
            <w:r w:rsidRPr="004E5AEB">
              <w:rPr>
                <w:rFonts w:ascii="Calibri" w:eastAsia="Times New Roman" w:hAnsi="Calibri" w:cs="Aharoni" w:hint="cs"/>
                <w:i/>
                <w:iCs/>
                <w:color w:val="FFFFFF"/>
              </w:rPr>
              <w:t>OML</w:t>
            </w:r>
          </w:p>
        </w:tc>
      </w:tr>
      <w:tr w:rsidR="004E5AEB" w:rsidRPr="004E5AEB" w:rsidTr="004E5AEB">
        <w:trPr>
          <w:trHeight w:val="31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5AEB" w:rsidRPr="004E5AEB" w:rsidRDefault="004E5AEB" w:rsidP="004E5AEB">
            <w:pPr>
              <w:rPr>
                <w:rFonts w:ascii="Calibri" w:eastAsia="Times New Roman" w:hAnsi="Calibri" w:cs="Aharoni"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AEB">
              <w:rPr>
                <w:rFonts w:ascii="Calibri" w:eastAsia="Times New Roman" w:hAnsi="Calibri" w:cs="Calibri"/>
                <w:color w:val="000000"/>
              </w:rPr>
              <w:t>0.302261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AE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AEB">
              <w:rPr>
                <w:rFonts w:ascii="Calibri" w:eastAsia="Times New Roman" w:hAnsi="Calibri" w:cs="Calibri"/>
                <w:color w:val="000000"/>
              </w:rPr>
              <w:t>0.697654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AE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AE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E5AEB" w:rsidRPr="004E5AEB" w:rsidTr="004E5AEB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Aharoni"/>
                <w:i/>
                <w:iCs/>
                <w:color w:val="FFFFFF"/>
              </w:rPr>
            </w:pPr>
            <w:r w:rsidRPr="004E5AEB">
              <w:rPr>
                <w:rFonts w:ascii="Calibri" w:eastAsia="Times New Roman" w:hAnsi="Calibri" w:cs="Aharoni" w:hint="cs"/>
                <w:i/>
                <w:iCs/>
                <w:color w:val="FFFFFF"/>
              </w:rPr>
              <w:t>Standard Deviation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Aharoni"/>
                <w:i/>
                <w:iCs/>
                <w:color w:val="FFFFFF"/>
              </w:rPr>
            </w:pPr>
            <w:r w:rsidRPr="004E5AEB">
              <w:rPr>
                <w:rFonts w:ascii="Calibri" w:eastAsia="Times New Roman" w:hAnsi="Calibri" w:cs="Aharoni" w:hint="cs"/>
                <w:i/>
                <w:iCs/>
                <w:color w:val="FFFFFF"/>
              </w:rPr>
              <w:t>Returns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Aharoni"/>
                <w:i/>
                <w:iCs/>
                <w:color w:val="FF0000"/>
              </w:rPr>
            </w:pPr>
            <w:r w:rsidRPr="004E5AEB">
              <w:rPr>
                <w:rFonts w:ascii="Calibri" w:eastAsia="Times New Roman" w:hAnsi="Calibri" w:cs="Aharoni" w:hint="cs"/>
                <w:i/>
                <w:iCs/>
                <w:color w:val="FF0000"/>
              </w:rPr>
              <w:t>OPTIMAL SHARPE RATIO</w:t>
            </w:r>
          </w:p>
        </w:tc>
      </w:tr>
      <w:tr w:rsidR="004E5AEB" w:rsidRPr="004E5AEB" w:rsidTr="004E5AEB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AEB">
              <w:rPr>
                <w:rFonts w:ascii="Calibri" w:eastAsia="Times New Roman" w:hAnsi="Calibri" w:cs="Calibri"/>
                <w:color w:val="000000"/>
              </w:rPr>
              <w:t>0.004207917</w:t>
            </w:r>
          </w:p>
        </w:tc>
        <w:tc>
          <w:tcPr>
            <w:tcW w:w="2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AEB">
              <w:rPr>
                <w:rFonts w:ascii="Calibri" w:eastAsia="Times New Roman" w:hAnsi="Calibri" w:cs="Calibri"/>
                <w:color w:val="000000"/>
              </w:rPr>
              <w:t>0.341853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4E5AEB" w:rsidRPr="004E5AEB" w:rsidRDefault="004E5AEB" w:rsidP="004E5A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5AEB">
              <w:rPr>
                <w:rFonts w:ascii="Calibri" w:eastAsia="Times New Roman" w:hAnsi="Calibri" w:cs="Calibri"/>
                <w:b/>
                <w:bCs/>
                <w:color w:val="000000"/>
              </w:rPr>
              <w:t>76.48747984</w:t>
            </w:r>
          </w:p>
        </w:tc>
      </w:tr>
    </w:tbl>
    <w:p w:rsidR="004E5AEB" w:rsidRDefault="004E5AEB" w:rsidP="004E5AEB">
      <w:pPr>
        <w:pStyle w:val="ListParagraph"/>
        <w:jc w:val="both"/>
        <w:rPr>
          <w:rFonts w:eastAsiaTheme="minorEastAsia"/>
        </w:rPr>
      </w:pPr>
    </w:p>
    <w:p w:rsidR="004E5AEB" w:rsidRPr="00EB3AF8" w:rsidRDefault="004E5AEB" w:rsidP="004E5AEB">
      <w:pPr>
        <w:pStyle w:val="ListParagraph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                                         .</w:t>
      </w:r>
    </w:p>
    <w:p w:rsidR="00F3708C" w:rsidRDefault="00F3708C" w:rsidP="00475602">
      <w:pPr>
        <w:jc w:val="both"/>
        <w:rPr>
          <w:rFonts w:eastAsiaTheme="minorEastAsia"/>
        </w:rPr>
      </w:pPr>
    </w:p>
    <w:p w:rsidR="00CA6E13" w:rsidRPr="00CA6E13" w:rsidRDefault="00CA6E13" w:rsidP="00475602">
      <w:pPr>
        <w:jc w:val="both"/>
        <w:rPr>
          <w:rFonts w:eastAsiaTheme="minorEastAsia"/>
          <w:b/>
          <w:sz w:val="28"/>
          <w:szCs w:val="28"/>
        </w:rPr>
      </w:pPr>
      <w:r w:rsidRPr="00CA6E13">
        <w:rPr>
          <w:rFonts w:eastAsiaTheme="minorEastAsia"/>
          <w:b/>
          <w:sz w:val="28"/>
          <w:szCs w:val="28"/>
        </w:rPr>
        <w:t>THE MODEL</w:t>
      </w:r>
    </w:p>
    <w:p w:rsidR="00CA6E13" w:rsidRDefault="00CA6E13" w:rsidP="00475602">
      <w:pPr>
        <w:jc w:val="both"/>
        <w:rPr>
          <w:rFonts w:eastAsiaTheme="minorEastAsia"/>
        </w:rPr>
      </w:pPr>
    </w:p>
    <w:p w:rsidR="00F3708C" w:rsidRDefault="00D72997" w:rsidP="00475602">
      <w:pPr>
        <w:jc w:val="both"/>
        <w:rPr>
          <w:sz w:val="24"/>
          <w:szCs w:val="24"/>
        </w:rPr>
      </w:pPr>
      <w:r>
        <w:tab/>
        <w:t xml:space="preserve">The model has been developed using Microsoft Excel and partially using </w:t>
      </w:r>
      <w:proofErr w:type="spellStart"/>
      <w:r>
        <w:t>Matlab</w:t>
      </w:r>
      <w:proofErr w:type="spellEnd"/>
      <w:r>
        <w:t xml:space="preserve">. </w:t>
      </w:r>
      <w:r w:rsidRPr="004F54B8">
        <w:rPr>
          <w:sz w:val="24"/>
          <w:szCs w:val="24"/>
        </w:rPr>
        <w:t xml:space="preserve">The spreadsheet named </w:t>
      </w:r>
      <w:proofErr w:type="gramStart"/>
      <w:r w:rsidRPr="004F54B8">
        <w:rPr>
          <w:sz w:val="24"/>
          <w:szCs w:val="24"/>
        </w:rPr>
        <w:t xml:space="preserve">“ </w:t>
      </w:r>
      <w:r>
        <w:rPr>
          <w:b/>
          <w:sz w:val="24"/>
          <w:szCs w:val="24"/>
        </w:rPr>
        <w:t>cf963</w:t>
      </w:r>
      <w:proofErr w:type="gramEnd"/>
      <w:r>
        <w:rPr>
          <w:b/>
          <w:sz w:val="24"/>
          <w:szCs w:val="24"/>
        </w:rPr>
        <w:t>_12nd</w:t>
      </w:r>
      <w:r w:rsidRPr="004F54B8">
        <w:rPr>
          <w:b/>
          <w:sz w:val="24"/>
          <w:szCs w:val="24"/>
        </w:rPr>
        <w:t>_Assignment_Riccardo_Valerio_Lattanzi</w:t>
      </w:r>
      <w:r>
        <w:rPr>
          <w:b/>
          <w:sz w:val="24"/>
          <w:szCs w:val="24"/>
        </w:rPr>
        <w:t xml:space="preserve"> </w:t>
      </w:r>
      <w:r w:rsidRPr="00D72997">
        <w:rPr>
          <w:sz w:val="24"/>
          <w:szCs w:val="24"/>
        </w:rPr>
        <w:t>“</w:t>
      </w:r>
      <w:r>
        <w:rPr>
          <w:sz w:val="24"/>
          <w:szCs w:val="24"/>
        </w:rPr>
        <w:t xml:space="preserve"> contains four worksheets with all the data used for the computations and the correspondent results.</w:t>
      </w:r>
    </w:p>
    <w:p w:rsidR="00D61B80" w:rsidRDefault="00D61B80" w:rsidP="004756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The Worksheet named “</w:t>
      </w:r>
      <w:r w:rsidRPr="00D61B80">
        <w:rPr>
          <w:b/>
          <w:sz w:val="24"/>
          <w:szCs w:val="24"/>
        </w:rPr>
        <w:t>Introduction</w:t>
      </w:r>
      <w:r>
        <w:rPr>
          <w:sz w:val="24"/>
          <w:szCs w:val="24"/>
        </w:rPr>
        <w:t>” briefly explains the content of the following three worksheets.</w:t>
      </w:r>
    </w:p>
    <w:p w:rsidR="00D61B80" w:rsidRDefault="00D61B80" w:rsidP="004756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r w:rsidR="00026352">
        <w:rPr>
          <w:sz w:val="24"/>
          <w:szCs w:val="24"/>
        </w:rPr>
        <w:t>Worksheet named “</w:t>
      </w:r>
      <w:proofErr w:type="gramStart"/>
      <w:r w:rsidR="00026352" w:rsidRPr="00026352">
        <w:rPr>
          <w:b/>
          <w:sz w:val="24"/>
          <w:szCs w:val="24"/>
        </w:rPr>
        <w:t>Data(</w:t>
      </w:r>
      <w:proofErr w:type="gramEnd"/>
      <w:r w:rsidR="00026352" w:rsidRPr="00026352">
        <w:rPr>
          <w:b/>
          <w:sz w:val="24"/>
          <w:szCs w:val="24"/>
        </w:rPr>
        <w:t>Step1)</w:t>
      </w:r>
      <w:r w:rsidR="00026352">
        <w:rPr>
          <w:sz w:val="24"/>
          <w:szCs w:val="24"/>
        </w:rPr>
        <w:t>” contains all the data used for the calculations, included all the different portfolios obtained through the combination of five different stocks. The combinations “</w:t>
      </w:r>
      <w:r w:rsidR="00026352" w:rsidRPr="00026352">
        <w:rPr>
          <w:b/>
          <w:sz w:val="24"/>
          <w:szCs w:val="24"/>
        </w:rPr>
        <w:t>C(</w:t>
      </w:r>
      <w:proofErr w:type="spellStart"/>
      <w:r w:rsidR="00026352" w:rsidRPr="00026352">
        <w:rPr>
          <w:b/>
          <w:sz w:val="24"/>
          <w:szCs w:val="24"/>
        </w:rPr>
        <w:t>n,k</w:t>
      </w:r>
      <w:proofErr w:type="spellEnd"/>
      <w:r w:rsidR="00026352" w:rsidRPr="00026352">
        <w:rPr>
          <w:b/>
          <w:sz w:val="24"/>
          <w:szCs w:val="24"/>
        </w:rPr>
        <w:t>) = n!/k!(n – k)!</w:t>
      </w:r>
      <w:r w:rsidR="00026352">
        <w:rPr>
          <w:sz w:val="24"/>
          <w:szCs w:val="24"/>
        </w:rPr>
        <w:t xml:space="preserve"> “ </w:t>
      </w:r>
      <w:r w:rsidR="00D91295">
        <w:rPr>
          <w:sz w:val="24"/>
          <w:szCs w:val="24"/>
        </w:rPr>
        <w:t xml:space="preserve">have been computed in </w:t>
      </w:r>
      <w:proofErr w:type="spellStart"/>
      <w:r w:rsidR="00026352">
        <w:rPr>
          <w:sz w:val="24"/>
          <w:szCs w:val="24"/>
        </w:rPr>
        <w:t>Matlab</w:t>
      </w:r>
      <w:proofErr w:type="spellEnd"/>
      <w:r w:rsidR="00026352">
        <w:rPr>
          <w:sz w:val="24"/>
          <w:szCs w:val="24"/>
        </w:rPr>
        <w:t xml:space="preserve"> </w:t>
      </w:r>
      <w:r w:rsidR="00D91295">
        <w:rPr>
          <w:sz w:val="24"/>
          <w:szCs w:val="24"/>
        </w:rPr>
        <w:t xml:space="preserve">by using the </w:t>
      </w:r>
      <w:r w:rsidR="00026352">
        <w:rPr>
          <w:sz w:val="24"/>
          <w:szCs w:val="24"/>
        </w:rPr>
        <w:t>function</w:t>
      </w:r>
      <w:r w:rsidR="00D91295">
        <w:rPr>
          <w:sz w:val="24"/>
          <w:szCs w:val="24"/>
        </w:rPr>
        <w:t xml:space="preserve"> </w:t>
      </w:r>
      <w:r w:rsidR="00D91295" w:rsidRPr="00D91295">
        <w:rPr>
          <w:b/>
          <w:sz w:val="24"/>
          <w:szCs w:val="24"/>
        </w:rPr>
        <w:t xml:space="preserve">C = </w:t>
      </w:r>
      <w:proofErr w:type="spellStart"/>
      <w:r w:rsidR="00D91295" w:rsidRPr="00D91295">
        <w:rPr>
          <w:b/>
          <w:sz w:val="24"/>
          <w:szCs w:val="24"/>
        </w:rPr>
        <w:t>combnk</w:t>
      </w:r>
      <w:proofErr w:type="spellEnd"/>
      <w:r w:rsidR="00D91295" w:rsidRPr="00D91295">
        <w:rPr>
          <w:b/>
          <w:sz w:val="24"/>
          <w:szCs w:val="24"/>
        </w:rPr>
        <w:t>(</w:t>
      </w:r>
      <w:proofErr w:type="spellStart"/>
      <w:r w:rsidR="00D91295" w:rsidRPr="00D91295">
        <w:rPr>
          <w:b/>
          <w:sz w:val="24"/>
          <w:szCs w:val="24"/>
        </w:rPr>
        <w:t>v,k</w:t>
      </w:r>
      <w:proofErr w:type="spellEnd"/>
      <w:r w:rsidR="00D91295" w:rsidRPr="00D91295">
        <w:rPr>
          <w:b/>
          <w:sz w:val="24"/>
          <w:szCs w:val="24"/>
        </w:rPr>
        <w:t>)</w:t>
      </w:r>
      <w:r w:rsidR="00D91295">
        <w:rPr>
          <w:b/>
          <w:sz w:val="24"/>
          <w:szCs w:val="24"/>
        </w:rPr>
        <w:t xml:space="preserve"> </w:t>
      </w:r>
      <w:r w:rsidR="00D91295">
        <w:rPr>
          <w:sz w:val="24"/>
          <w:szCs w:val="24"/>
        </w:rPr>
        <w:t>that “</w:t>
      </w:r>
      <w:r w:rsidR="00D91295" w:rsidRPr="00D91295">
        <w:rPr>
          <w:b/>
          <w:sz w:val="24"/>
          <w:szCs w:val="24"/>
        </w:rPr>
        <w:t>returns all combinations of the n elements in v taken k at a time</w:t>
      </w:r>
      <w:r w:rsidR="00D91295">
        <w:rPr>
          <w:sz w:val="24"/>
          <w:szCs w:val="24"/>
        </w:rPr>
        <w:t xml:space="preserve"> “ (source : </w:t>
      </w:r>
      <w:proofErr w:type="spellStart"/>
      <w:r w:rsidR="00D91295">
        <w:rPr>
          <w:sz w:val="24"/>
          <w:szCs w:val="24"/>
        </w:rPr>
        <w:t>Matlab</w:t>
      </w:r>
      <w:proofErr w:type="spellEnd"/>
      <w:r w:rsidR="00D91295">
        <w:rPr>
          <w:sz w:val="24"/>
          <w:szCs w:val="24"/>
        </w:rPr>
        <w:t xml:space="preserve"> Help )</w:t>
      </w:r>
      <w:r w:rsidR="00D91295" w:rsidRPr="00D91295">
        <w:rPr>
          <w:sz w:val="24"/>
          <w:szCs w:val="24"/>
        </w:rPr>
        <w:t>.</w:t>
      </w:r>
      <w:r w:rsidR="00983936">
        <w:rPr>
          <w:sz w:val="24"/>
          <w:szCs w:val="24"/>
        </w:rPr>
        <w:t xml:space="preserve"> The returns are the ones that have been provided for the assignment.</w:t>
      </w:r>
    </w:p>
    <w:p w:rsidR="00983936" w:rsidRDefault="00983936" w:rsidP="004756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6E13">
        <w:rPr>
          <w:sz w:val="24"/>
          <w:szCs w:val="24"/>
        </w:rPr>
        <w:t xml:space="preserve">The next step </w:t>
      </w:r>
      <w:r w:rsidR="00922E62">
        <w:rPr>
          <w:sz w:val="24"/>
          <w:szCs w:val="24"/>
        </w:rPr>
        <w:t>was computing the Sharpe Ratio for all the portfolios using equally weighted returns and standard deviations. The computation of the Variance-Covariance matrices and the standard deviations is based on a VBA macro developed for this specific purpose.  The macro is named “</w:t>
      </w:r>
      <w:proofErr w:type="spellStart"/>
      <w:r w:rsidR="00922E62" w:rsidRPr="001C40BD">
        <w:rPr>
          <w:b/>
          <w:sz w:val="24"/>
          <w:szCs w:val="24"/>
        </w:rPr>
        <w:t>Portfolio_Std</w:t>
      </w:r>
      <w:proofErr w:type="spellEnd"/>
      <w:r w:rsidR="00922E62">
        <w:rPr>
          <w:sz w:val="24"/>
          <w:szCs w:val="24"/>
        </w:rPr>
        <w:t>”</w:t>
      </w:r>
      <w:r w:rsidR="00B14A68">
        <w:rPr>
          <w:sz w:val="24"/>
          <w:szCs w:val="24"/>
        </w:rPr>
        <w:t xml:space="preserve"> and the code can be found in the Appendix A</w:t>
      </w:r>
      <w:r w:rsidR="001C40BD">
        <w:rPr>
          <w:sz w:val="24"/>
          <w:szCs w:val="24"/>
        </w:rPr>
        <w:t>.</w:t>
      </w:r>
    </w:p>
    <w:p w:rsidR="00C86133" w:rsidRDefault="001C40BD" w:rsidP="00B301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The last step was finding the optimal weights in order to maximize the Sharpe Ratio. For this purpose I created the worksheet “</w:t>
      </w:r>
      <w:proofErr w:type="spellStart"/>
      <w:r w:rsidRPr="001C40BD">
        <w:rPr>
          <w:b/>
          <w:sz w:val="24"/>
          <w:szCs w:val="24"/>
        </w:rPr>
        <w:t>Portfolio_</w:t>
      </w:r>
      <w:proofErr w:type="gramStart"/>
      <w:r w:rsidRPr="001C40BD">
        <w:rPr>
          <w:b/>
          <w:sz w:val="24"/>
          <w:szCs w:val="24"/>
        </w:rPr>
        <w:t>Weights</w:t>
      </w:r>
      <w:proofErr w:type="spellEnd"/>
      <w:r w:rsidRPr="001C40BD">
        <w:rPr>
          <w:b/>
          <w:sz w:val="24"/>
          <w:szCs w:val="24"/>
        </w:rPr>
        <w:t>(</w:t>
      </w:r>
      <w:proofErr w:type="gramEnd"/>
      <w:r w:rsidRPr="001C40BD">
        <w:rPr>
          <w:b/>
          <w:sz w:val="24"/>
          <w:szCs w:val="24"/>
        </w:rPr>
        <w:t>Step3)</w:t>
      </w:r>
      <w:r>
        <w:rPr>
          <w:sz w:val="24"/>
          <w:szCs w:val="24"/>
        </w:rPr>
        <w:t>”</w:t>
      </w:r>
      <w:r w:rsidR="00B301C4">
        <w:rPr>
          <w:sz w:val="24"/>
          <w:szCs w:val="24"/>
        </w:rPr>
        <w:t xml:space="preserve">. The optimization problem has been solved by using the Excel Solver. The Solver allows you to set up the constraints of the problem </w:t>
      </w:r>
      <w:proofErr w:type="gramStart"/>
      <w:r w:rsidR="00B301C4">
        <w:rPr>
          <w:sz w:val="24"/>
          <w:szCs w:val="24"/>
        </w:rPr>
        <w:t>( in</w:t>
      </w:r>
      <w:proofErr w:type="gramEnd"/>
      <w:r w:rsidR="00B301C4">
        <w:rPr>
          <w:sz w:val="24"/>
          <w:szCs w:val="24"/>
        </w:rPr>
        <w:t xml:space="preserve"> our case the weights must be &gt;=0 and the sum of the weights must be equal to 1)</w:t>
      </w:r>
      <w:r w:rsidR="0052514F">
        <w:rPr>
          <w:sz w:val="24"/>
          <w:szCs w:val="24"/>
        </w:rPr>
        <w:t xml:space="preserve"> and to choose between different solving methods ( in our case we have chosen G</w:t>
      </w:r>
      <w:r w:rsidR="00A23F78">
        <w:rPr>
          <w:sz w:val="24"/>
          <w:szCs w:val="24"/>
        </w:rPr>
        <w:t xml:space="preserve">eneralized </w:t>
      </w:r>
      <w:r w:rsidR="0052514F">
        <w:rPr>
          <w:sz w:val="24"/>
          <w:szCs w:val="24"/>
        </w:rPr>
        <w:lastRenderedPageBreak/>
        <w:t>R</w:t>
      </w:r>
      <w:r w:rsidR="00A23F78">
        <w:rPr>
          <w:sz w:val="24"/>
          <w:szCs w:val="24"/>
        </w:rPr>
        <w:t xml:space="preserve">educed </w:t>
      </w:r>
      <w:r w:rsidR="0052514F">
        <w:rPr>
          <w:sz w:val="24"/>
          <w:szCs w:val="24"/>
        </w:rPr>
        <w:t>G</w:t>
      </w:r>
      <w:r w:rsidR="00A23F78">
        <w:rPr>
          <w:sz w:val="24"/>
          <w:szCs w:val="24"/>
        </w:rPr>
        <w:t>radient</w:t>
      </w:r>
      <w:r w:rsidR="0052514F">
        <w:rPr>
          <w:sz w:val="24"/>
          <w:szCs w:val="24"/>
        </w:rPr>
        <w:t xml:space="preserve"> </w:t>
      </w:r>
      <w:r w:rsidR="00A23F78">
        <w:rPr>
          <w:sz w:val="24"/>
          <w:szCs w:val="24"/>
        </w:rPr>
        <w:t>solving method</w:t>
      </w:r>
      <w:r w:rsidR="00FC2F96">
        <w:rPr>
          <w:sz w:val="24"/>
          <w:szCs w:val="24"/>
        </w:rPr>
        <w:t xml:space="preserve">, see </w:t>
      </w:r>
      <w:hyperlink r:id="rId7" w:history="1">
        <w:r w:rsidR="00A23F78">
          <w:rPr>
            <w:rStyle w:val="Hyperlink"/>
          </w:rPr>
          <w:t>http://www.solver.com/suppstdgrgstop.htm</w:t>
        </w:r>
      </w:hyperlink>
      <w:r w:rsidR="00FC2F96">
        <w:t xml:space="preserve"> and also </w:t>
      </w:r>
      <w:hyperlink r:id="rId8" w:history="1">
        <w:r w:rsidR="00FC2F96">
          <w:rPr>
            <w:rStyle w:val="Hyperlink"/>
          </w:rPr>
          <w:t>http://www.utexas.edu/courses/lasdon/design3.htm</w:t>
        </w:r>
      </w:hyperlink>
      <w:r w:rsidR="00A23F78">
        <w:rPr>
          <w:sz w:val="24"/>
          <w:szCs w:val="24"/>
        </w:rPr>
        <w:t xml:space="preserve"> )</w:t>
      </w:r>
      <w:r w:rsidR="00FC2F96">
        <w:rPr>
          <w:sz w:val="24"/>
          <w:szCs w:val="24"/>
        </w:rPr>
        <w:t>.</w:t>
      </w:r>
      <w:r w:rsidR="00F50571">
        <w:rPr>
          <w:sz w:val="24"/>
          <w:szCs w:val="24"/>
        </w:rPr>
        <w:t xml:space="preserve"> After having found a local optimal solution I adjusted the value of the weights in order to obtain an integer number of stoc</w:t>
      </w:r>
      <w:r w:rsidR="00520B30">
        <w:rPr>
          <w:sz w:val="24"/>
          <w:szCs w:val="24"/>
        </w:rPr>
        <w:t>ks. The new adjusted weights and the new values of return, standard deviation and Sharpe Ratio have been reported into the green table</w:t>
      </w:r>
      <w:r w:rsidR="001B0E6C">
        <w:rPr>
          <w:sz w:val="24"/>
          <w:szCs w:val="24"/>
        </w:rPr>
        <w:t xml:space="preserve"> in the worksheet </w:t>
      </w:r>
      <w:r w:rsidR="001B0E6C">
        <w:rPr>
          <w:sz w:val="24"/>
          <w:szCs w:val="24"/>
        </w:rPr>
        <w:t>“</w:t>
      </w:r>
      <w:proofErr w:type="spellStart"/>
      <w:r w:rsidR="001B0E6C" w:rsidRPr="001C40BD">
        <w:rPr>
          <w:b/>
          <w:sz w:val="24"/>
          <w:szCs w:val="24"/>
        </w:rPr>
        <w:t>Portfolio_</w:t>
      </w:r>
      <w:proofErr w:type="gramStart"/>
      <w:r w:rsidR="001B0E6C" w:rsidRPr="001C40BD">
        <w:rPr>
          <w:b/>
          <w:sz w:val="24"/>
          <w:szCs w:val="24"/>
        </w:rPr>
        <w:t>Weights</w:t>
      </w:r>
      <w:proofErr w:type="spellEnd"/>
      <w:r w:rsidR="001B0E6C" w:rsidRPr="001C40BD">
        <w:rPr>
          <w:b/>
          <w:sz w:val="24"/>
          <w:szCs w:val="24"/>
        </w:rPr>
        <w:t>(</w:t>
      </w:r>
      <w:proofErr w:type="gramEnd"/>
      <w:r w:rsidR="001B0E6C" w:rsidRPr="001C40BD">
        <w:rPr>
          <w:b/>
          <w:sz w:val="24"/>
          <w:szCs w:val="24"/>
        </w:rPr>
        <w:t>Step3</w:t>
      </w:r>
      <w:r w:rsidR="001B0E6C">
        <w:rPr>
          <w:b/>
          <w:sz w:val="24"/>
          <w:szCs w:val="24"/>
        </w:rPr>
        <w:t>)</w:t>
      </w:r>
      <w:r w:rsidR="001B0E6C" w:rsidRPr="001B0E6C">
        <w:rPr>
          <w:sz w:val="24"/>
          <w:szCs w:val="24"/>
        </w:rPr>
        <w:t>”</w:t>
      </w:r>
      <w:r w:rsidR="001B0E6C">
        <w:rPr>
          <w:sz w:val="24"/>
          <w:szCs w:val="24"/>
        </w:rPr>
        <w:t xml:space="preserve"> </w:t>
      </w:r>
      <w:r w:rsidR="00520B30">
        <w:rPr>
          <w:sz w:val="24"/>
          <w:szCs w:val="24"/>
        </w:rPr>
        <w:t>.</w:t>
      </w:r>
      <w:r w:rsidR="00FE0DE3">
        <w:rPr>
          <w:sz w:val="24"/>
          <w:szCs w:val="24"/>
        </w:rPr>
        <w:t xml:space="preserve"> </w:t>
      </w:r>
    </w:p>
    <w:p w:rsidR="00F3796D" w:rsidRDefault="00F3796D" w:rsidP="00B301C4">
      <w:pPr>
        <w:jc w:val="both"/>
        <w:rPr>
          <w:sz w:val="24"/>
          <w:szCs w:val="24"/>
        </w:rPr>
      </w:pPr>
    </w:p>
    <w:p w:rsidR="00F3796D" w:rsidRDefault="00F3796D" w:rsidP="00F3796D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STRENGHTS AND WEAKNESSES</w:t>
      </w:r>
      <w:bookmarkStart w:id="0" w:name="_GoBack"/>
      <w:bookmarkEnd w:id="0"/>
    </w:p>
    <w:p w:rsidR="00F3796D" w:rsidRDefault="00F3796D" w:rsidP="00F3796D">
      <w:pPr>
        <w:jc w:val="both"/>
        <w:rPr>
          <w:rFonts w:eastAsiaTheme="minorEastAsia"/>
          <w:b/>
          <w:sz w:val="28"/>
          <w:szCs w:val="28"/>
        </w:rPr>
      </w:pPr>
    </w:p>
    <w:p w:rsidR="00F3796D" w:rsidRPr="00F3796D" w:rsidRDefault="00F3796D" w:rsidP="00F3796D">
      <w:pPr>
        <w:jc w:val="both"/>
        <w:rPr>
          <w:rFonts w:eastAsiaTheme="minorEastAsia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</w:rPr>
        <w:t>The main strength</w:t>
      </w:r>
      <w:r w:rsidR="00402B3B">
        <w:rPr>
          <w:rFonts w:eastAsiaTheme="minorEastAsia"/>
        </w:rPr>
        <w:t xml:space="preserve"> of this work is that the analysis of the investment includes all the possible portfolios that can be generated by combining</w:t>
      </w:r>
      <w:r>
        <w:rPr>
          <w:rFonts w:eastAsiaTheme="minorEastAsia"/>
        </w:rPr>
        <w:t xml:space="preserve"> </w:t>
      </w:r>
      <w:r w:rsidR="00402B3B">
        <w:rPr>
          <w:rFonts w:eastAsiaTheme="minorEastAsia"/>
        </w:rPr>
        <w:t>five different stocks while the main weakness is represented by the fact that</w:t>
      </w:r>
      <w:r w:rsidR="00F61158">
        <w:rPr>
          <w:rFonts w:eastAsiaTheme="minorEastAsia"/>
        </w:rPr>
        <w:t xml:space="preserve">, </w:t>
      </w:r>
      <w:r w:rsidR="00F61158">
        <w:rPr>
          <w:rFonts w:eastAsiaTheme="minorEastAsia"/>
        </w:rPr>
        <w:t>due to the difficulty of applying the Excel Solver to each of the 252 different portfolios,</w:t>
      </w:r>
      <w:r w:rsidR="00F61158">
        <w:rPr>
          <w:rFonts w:eastAsiaTheme="minorEastAsia"/>
        </w:rPr>
        <w:t xml:space="preserve"> the Excel Solver has been used only after having chosen the portfolio with the maximum Sharpe R</w:t>
      </w:r>
      <w:r w:rsidR="00CF555C">
        <w:rPr>
          <w:rFonts w:eastAsiaTheme="minorEastAsia"/>
        </w:rPr>
        <w:t xml:space="preserve">atio (step2) and not during </w:t>
      </w:r>
      <w:r w:rsidR="00F61158">
        <w:rPr>
          <w:rFonts w:eastAsiaTheme="minorEastAsia"/>
        </w:rPr>
        <w:t>portfolio selection</w:t>
      </w:r>
      <w:r w:rsidR="00EB64D0">
        <w:rPr>
          <w:rFonts w:eastAsiaTheme="minorEastAsia"/>
        </w:rPr>
        <w:t xml:space="preserve"> phase (step2).</w:t>
      </w:r>
      <w:r w:rsidR="00402B3B">
        <w:rPr>
          <w:rFonts w:eastAsiaTheme="minorEastAsia"/>
        </w:rPr>
        <w:t xml:space="preserve"> </w:t>
      </w:r>
    </w:p>
    <w:p w:rsidR="00F3796D" w:rsidRDefault="00F3796D" w:rsidP="00B301C4">
      <w:pPr>
        <w:jc w:val="both"/>
      </w:pPr>
    </w:p>
    <w:p w:rsidR="00B14A68" w:rsidRDefault="00B14A68"/>
    <w:p w:rsidR="00B14A68" w:rsidRDefault="00B14A68"/>
    <w:p w:rsidR="00B14A68" w:rsidRDefault="00B14A68"/>
    <w:p w:rsidR="00B14A68" w:rsidRDefault="001C40BD" w:rsidP="00B14A68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APPENDIX A</w:t>
      </w:r>
    </w:p>
    <w:p w:rsidR="001C40BD" w:rsidRDefault="001C40BD" w:rsidP="00B14A68">
      <w:pPr>
        <w:jc w:val="both"/>
        <w:rPr>
          <w:rFonts w:eastAsiaTheme="minorEastAsia"/>
          <w:b/>
          <w:sz w:val="28"/>
          <w:szCs w:val="28"/>
        </w:rPr>
      </w:pPr>
    </w:p>
    <w:p w:rsidR="001C40BD" w:rsidRPr="001C40BD" w:rsidRDefault="001C40BD" w:rsidP="001C40BD">
      <w:pPr>
        <w:jc w:val="both"/>
        <w:rPr>
          <w:rFonts w:eastAsiaTheme="minorEastAsia"/>
        </w:rPr>
      </w:pPr>
      <w:r w:rsidRPr="001C40BD">
        <w:rPr>
          <w:rFonts w:eastAsiaTheme="minorEastAsia"/>
        </w:rPr>
        <w:t xml:space="preserve">Sub </w:t>
      </w:r>
      <w:proofErr w:type="spellStart"/>
      <w:r w:rsidRPr="001C40BD">
        <w:rPr>
          <w:rFonts w:eastAsiaTheme="minorEastAsia"/>
        </w:rPr>
        <w:t>Portfolio_</w:t>
      </w:r>
      <w:proofErr w:type="gramStart"/>
      <w:r w:rsidRPr="001C40BD">
        <w:rPr>
          <w:rFonts w:eastAsiaTheme="minorEastAsia"/>
        </w:rPr>
        <w:t>Std</w:t>
      </w:r>
      <w:proofErr w:type="spellEnd"/>
      <w:r w:rsidRPr="001C40BD">
        <w:rPr>
          <w:rFonts w:eastAsiaTheme="minorEastAsia"/>
        </w:rPr>
        <w:t>()</w:t>
      </w:r>
      <w:proofErr w:type="gramEnd"/>
    </w:p>
    <w:p w:rsidR="001C40BD" w:rsidRPr="001C40BD" w:rsidRDefault="001C40BD" w:rsidP="001C40BD">
      <w:pPr>
        <w:jc w:val="both"/>
        <w:rPr>
          <w:rFonts w:eastAsiaTheme="minorEastAsia"/>
        </w:rPr>
      </w:pPr>
    </w:p>
    <w:p w:rsidR="001C40BD" w:rsidRPr="001C40BD" w:rsidRDefault="001C40BD" w:rsidP="001C40BD">
      <w:pPr>
        <w:jc w:val="both"/>
        <w:rPr>
          <w:rFonts w:eastAsiaTheme="minorEastAsia"/>
        </w:rPr>
      </w:pPr>
      <w:proofErr w:type="gramStart"/>
      <w:r w:rsidRPr="001C40BD">
        <w:rPr>
          <w:rFonts w:eastAsiaTheme="minorEastAsia"/>
        </w:rPr>
        <w:t xml:space="preserve">' </w:t>
      </w:r>
      <w:proofErr w:type="spellStart"/>
      <w:r w:rsidRPr="001C40BD">
        <w:rPr>
          <w:rFonts w:eastAsiaTheme="minorEastAsia"/>
        </w:rPr>
        <w:t>Portfolio</w:t>
      </w:r>
      <w:proofErr w:type="gramEnd"/>
      <w:r w:rsidRPr="001C40BD">
        <w:rPr>
          <w:rFonts w:eastAsiaTheme="minorEastAsia"/>
        </w:rPr>
        <w:t>_Std</w:t>
      </w:r>
      <w:proofErr w:type="spellEnd"/>
      <w:r w:rsidRPr="001C40BD">
        <w:rPr>
          <w:rFonts w:eastAsiaTheme="minorEastAsia"/>
        </w:rPr>
        <w:t xml:space="preserve"> Macro</w:t>
      </w:r>
    </w:p>
    <w:p w:rsidR="001C40BD" w:rsidRPr="001C40BD" w:rsidRDefault="001C40BD" w:rsidP="001C40BD">
      <w:pPr>
        <w:jc w:val="both"/>
        <w:rPr>
          <w:rFonts w:eastAsiaTheme="minorEastAsia"/>
        </w:rPr>
      </w:pPr>
    </w:p>
    <w:p w:rsidR="001C40BD" w:rsidRPr="001C40BD" w:rsidRDefault="001C40BD" w:rsidP="001C40BD">
      <w:pPr>
        <w:jc w:val="both"/>
        <w:rPr>
          <w:rFonts w:eastAsiaTheme="minorEastAsia"/>
        </w:rPr>
      </w:pPr>
      <w:proofErr w:type="gramStart"/>
      <w:r w:rsidRPr="001C40BD">
        <w:rPr>
          <w:rFonts w:eastAsiaTheme="minorEastAsia"/>
        </w:rPr>
        <w:t>' Keyboard</w:t>
      </w:r>
      <w:proofErr w:type="gramEnd"/>
      <w:r w:rsidRPr="001C40BD">
        <w:rPr>
          <w:rFonts w:eastAsiaTheme="minorEastAsia"/>
        </w:rPr>
        <w:t xml:space="preserve"> Shortcut: </w:t>
      </w:r>
      <w:proofErr w:type="spellStart"/>
      <w:r w:rsidRPr="001C40BD">
        <w:rPr>
          <w:rFonts w:eastAsiaTheme="minorEastAsia"/>
        </w:rPr>
        <w:t>Ctrl+p</w:t>
      </w:r>
      <w:proofErr w:type="spellEnd"/>
    </w:p>
    <w:p w:rsidR="001C40BD" w:rsidRPr="001C40BD" w:rsidRDefault="001C40BD" w:rsidP="001C40BD">
      <w:pPr>
        <w:jc w:val="both"/>
        <w:rPr>
          <w:rFonts w:eastAsiaTheme="minorEastAsia"/>
        </w:rPr>
      </w:pPr>
    </w:p>
    <w:p w:rsidR="001C40BD" w:rsidRPr="001C40BD" w:rsidRDefault="001C40BD" w:rsidP="001C40BD">
      <w:pPr>
        <w:jc w:val="both"/>
        <w:rPr>
          <w:rFonts w:eastAsiaTheme="minorEastAsia"/>
        </w:rPr>
      </w:pPr>
      <w:r w:rsidRPr="001C40BD">
        <w:rPr>
          <w:rFonts w:eastAsiaTheme="minorEastAsia"/>
        </w:rPr>
        <w:t xml:space="preserve">Dim </w:t>
      </w:r>
      <w:proofErr w:type="spellStart"/>
      <w:r w:rsidRPr="001C40BD">
        <w:rPr>
          <w:rFonts w:eastAsiaTheme="minorEastAsia"/>
        </w:rPr>
        <w:t>i</w:t>
      </w:r>
      <w:proofErr w:type="spellEnd"/>
      <w:r w:rsidRPr="001C40BD">
        <w:rPr>
          <w:rFonts w:eastAsiaTheme="minorEastAsia"/>
        </w:rPr>
        <w:t xml:space="preserve"> </w:t>
      </w:r>
      <w:proofErr w:type="gramStart"/>
      <w:r w:rsidRPr="001C40BD">
        <w:rPr>
          <w:rFonts w:eastAsiaTheme="minorEastAsia"/>
        </w:rPr>
        <w:t>As</w:t>
      </w:r>
      <w:proofErr w:type="gramEnd"/>
      <w:r w:rsidRPr="001C40BD">
        <w:rPr>
          <w:rFonts w:eastAsiaTheme="minorEastAsia"/>
        </w:rPr>
        <w:t xml:space="preserve"> Integer</w:t>
      </w:r>
    </w:p>
    <w:p w:rsidR="001C40BD" w:rsidRPr="001C40BD" w:rsidRDefault="001C40BD" w:rsidP="001C40BD">
      <w:pPr>
        <w:jc w:val="both"/>
        <w:rPr>
          <w:rFonts w:eastAsiaTheme="minorEastAsia"/>
        </w:rPr>
      </w:pPr>
    </w:p>
    <w:p w:rsidR="001C40BD" w:rsidRPr="001C40BD" w:rsidRDefault="001C40BD" w:rsidP="001C40BD">
      <w:pPr>
        <w:jc w:val="both"/>
        <w:rPr>
          <w:rFonts w:eastAsiaTheme="minorEastAsia"/>
        </w:rPr>
      </w:pPr>
      <w:r w:rsidRPr="001C40BD">
        <w:rPr>
          <w:rFonts w:eastAsiaTheme="minorEastAsia"/>
        </w:rPr>
        <w:t xml:space="preserve">For </w:t>
      </w:r>
      <w:proofErr w:type="spellStart"/>
      <w:r w:rsidRPr="001C40BD">
        <w:rPr>
          <w:rFonts w:eastAsiaTheme="minorEastAsia"/>
        </w:rPr>
        <w:t>i</w:t>
      </w:r>
      <w:proofErr w:type="spellEnd"/>
      <w:r w:rsidRPr="001C40BD">
        <w:rPr>
          <w:rFonts w:eastAsiaTheme="minorEastAsia"/>
        </w:rPr>
        <w:t xml:space="preserve"> = 11 To 262 Step 1</w:t>
      </w:r>
    </w:p>
    <w:p w:rsidR="001C40BD" w:rsidRPr="001C40BD" w:rsidRDefault="001C40BD" w:rsidP="001C40BD">
      <w:pPr>
        <w:jc w:val="both"/>
        <w:rPr>
          <w:rFonts w:eastAsiaTheme="minorEastAsia"/>
        </w:rPr>
      </w:pPr>
    </w:p>
    <w:p w:rsidR="001C40BD" w:rsidRPr="001C40BD" w:rsidRDefault="001C40BD" w:rsidP="001C40BD">
      <w:pPr>
        <w:jc w:val="both"/>
        <w:rPr>
          <w:rFonts w:eastAsiaTheme="minorEastAsia"/>
        </w:rPr>
      </w:pPr>
      <w:proofErr w:type="gramStart"/>
      <w:r w:rsidRPr="001C40BD">
        <w:rPr>
          <w:rFonts w:eastAsiaTheme="minorEastAsia"/>
        </w:rPr>
        <w:t>' It</w:t>
      </w:r>
      <w:proofErr w:type="gramEnd"/>
      <w:r w:rsidRPr="001C40BD">
        <w:rPr>
          <w:rFonts w:eastAsiaTheme="minorEastAsia"/>
        </w:rPr>
        <w:t xml:space="preserve"> creates a new portfolio </w:t>
      </w:r>
      <w:proofErr w:type="spellStart"/>
      <w:r w:rsidRPr="001C40BD">
        <w:rPr>
          <w:rFonts w:eastAsiaTheme="minorEastAsia"/>
        </w:rPr>
        <w:t>everytime</w:t>
      </w:r>
      <w:proofErr w:type="spellEnd"/>
      <w:r w:rsidRPr="001C40BD">
        <w:rPr>
          <w:rFonts w:eastAsiaTheme="minorEastAsia"/>
        </w:rPr>
        <w:t xml:space="preserve"> "</w:t>
      </w:r>
      <w:proofErr w:type="spellStart"/>
      <w:r w:rsidRPr="001C40BD">
        <w:rPr>
          <w:rFonts w:eastAsiaTheme="minorEastAsia"/>
        </w:rPr>
        <w:t>i</w:t>
      </w:r>
      <w:proofErr w:type="spellEnd"/>
      <w:r w:rsidRPr="001C40BD">
        <w:rPr>
          <w:rFonts w:eastAsiaTheme="minorEastAsia"/>
        </w:rPr>
        <w:t>" changes</w:t>
      </w:r>
    </w:p>
    <w:p w:rsidR="001C40BD" w:rsidRPr="001C40BD" w:rsidRDefault="001C40BD" w:rsidP="001C40BD">
      <w:pPr>
        <w:jc w:val="both"/>
        <w:rPr>
          <w:rFonts w:eastAsiaTheme="minorEastAsia"/>
        </w:rPr>
      </w:pPr>
    </w:p>
    <w:p w:rsidR="001C40BD" w:rsidRPr="001C40BD" w:rsidRDefault="001C40BD" w:rsidP="001C40BD">
      <w:pPr>
        <w:jc w:val="both"/>
        <w:rPr>
          <w:rFonts w:eastAsiaTheme="minorEastAsia"/>
        </w:rPr>
      </w:pPr>
      <w:proofErr w:type="gramStart"/>
      <w:r w:rsidRPr="001C40BD">
        <w:rPr>
          <w:rFonts w:eastAsiaTheme="minorEastAsia"/>
        </w:rPr>
        <w:t>Cells(</w:t>
      </w:r>
      <w:proofErr w:type="gramEnd"/>
      <w:r w:rsidRPr="001C40BD">
        <w:rPr>
          <w:rFonts w:eastAsiaTheme="minorEastAsia"/>
        </w:rPr>
        <w:t>4, 16) = Sheets("Data(Step1)").Cells(</w:t>
      </w:r>
      <w:proofErr w:type="spellStart"/>
      <w:r w:rsidRPr="001C40BD">
        <w:rPr>
          <w:rFonts w:eastAsiaTheme="minorEastAsia"/>
        </w:rPr>
        <w:t>i</w:t>
      </w:r>
      <w:proofErr w:type="spellEnd"/>
      <w:r w:rsidRPr="001C40BD">
        <w:rPr>
          <w:rFonts w:eastAsiaTheme="minorEastAsia"/>
        </w:rPr>
        <w:t>, 4)</w:t>
      </w:r>
    </w:p>
    <w:p w:rsidR="001C40BD" w:rsidRPr="001C40BD" w:rsidRDefault="001C40BD" w:rsidP="001C40BD">
      <w:pPr>
        <w:jc w:val="both"/>
        <w:rPr>
          <w:rFonts w:eastAsiaTheme="minorEastAsia"/>
        </w:rPr>
      </w:pPr>
      <w:proofErr w:type="gramStart"/>
      <w:r w:rsidRPr="001C40BD">
        <w:rPr>
          <w:rFonts w:eastAsiaTheme="minorEastAsia"/>
        </w:rPr>
        <w:t>Cells(</w:t>
      </w:r>
      <w:proofErr w:type="gramEnd"/>
      <w:r w:rsidRPr="001C40BD">
        <w:rPr>
          <w:rFonts w:eastAsiaTheme="minorEastAsia"/>
        </w:rPr>
        <w:t>4, 17) = Sheets("Data(Step1)").Cells(</w:t>
      </w:r>
      <w:proofErr w:type="spellStart"/>
      <w:r w:rsidRPr="001C40BD">
        <w:rPr>
          <w:rFonts w:eastAsiaTheme="minorEastAsia"/>
        </w:rPr>
        <w:t>i</w:t>
      </w:r>
      <w:proofErr w:type="spellEnd"/>
      <w:r w:rsidRPr="001C40BD">
        <w:rPr>
          <w:rFonts w:eastAsiaTheme="minorEastAsia"/>
        </w:rPr>
        <w:t>, 5)</w:t>
      </w:r>
    </w:p>
    <w:p w:rsidR="001C40BD" w:rsidRPr="001C40BD" w:rsidRDefault="001C40BD" w:rsidP="001C40BD">
      <w:pPr>
        <w:jc w:val="both"/>
        <w:rPr>
          <w:rFonts w:eastAsiaTheme="minorEastAsia"/>
        </w:rPr>
      </w:pPr>
      <w:proofErr w:type="gramStart"/>
      <w:r w:rsidRPr="001C40BD">
        <w:rPr>
          <w:rFonts w:eastAsiaTheme="minorEastAsia"/>
        </w:rPr>
        <w:t>Cells(</w:t>
      </w:r>
      <w:proofErr w:type="gramEnd"/>
      <w:r w:rsidRPr="001C40BD">
        <w:rPr>
          <w:rFonts w:eastAsiaTheme="minorEastAsia"/>
        </w:rPr>
        <w:t>4, 18) = Sheets("Data(Step1)").Cells(</w:t>
      </w:r>
      <w:proofErr w:type="spellStart"/>
      <w:r w:rsidRPr="001C40BD">
        <w:rPr>
          <w:rFonts w:eastAsiaTheme="minorEastAsia"/>
        </w:rPr>
        <w:t>i</w:t>
      </w:r>
      <w:proofErr w:type="spellEnd"/>
      <w:r w:rsidRPr="001C40BD">
        <w:rPr>
          <w:rFonts w:eastAsiaTheme="minorEastAsia"/>
        </w:rPr>
        <w:t>, 6)</w:t>
      </w:r>
    </w:p>
    <w:p w:rsidR="001C40BD" w:rsidRPr="001C40BD" w:rsidRDefault="001C40BD" w:rsidP="001C40BD">
      <w:pPr>
        <w:jc w:val="both"/>
        <w:rPr>
          <w:rFonts w:eastAsiaTheme="minorEastAsia"/>
        </w:rPr>
      </w:pPr>
      <w:proofErr w:type="gramStart"/>
      <w:r w:rsidRPr="001C40BD">
        <w:rPr>
          <w:rFonts w:eastAsiaTheme="minorEastAsia"/>
        </w:rPr>
        <w:t>Cells(</w:t>
      </w:r>
      <w:proofErr w:type="gramEnd"/>
      <w:r w:rsidRPr="001C40BD">
        <w:rPr>
          <w:rFonts w:eastAsiaTheme="minorEastAsia"/>
        </w:rPr>
        <w:t>4, 19) = Sheets("Data(Step1)").Cells(</w:t>
      </w:r>
      <w:proofErr w:type="spellStart"/>
      <w:r w:rsidRPr="001C40BD">
        <w:rPr>
          <w:rFonts w:eastAsiaTheme="minorEastAsia"/>
        </w:rPr>
        <w:t>i</w:t>
      </w:r>
      <w:proofErr w:type="spellEnd"/>
      <w:r w:rsidRPr="001C40BD">
        <w:rPr>
          <w:rFonts w:eastAsiaTheme="minorEastAsia"/>
        </w:rPr>
        <w:t>, 7)</w:t>
      </w:r>
    </w:p>
    <w:p w:rsidR="001C40BD" w:rsidRPr="001C40BD" w:rsidRDefault="001C40BD" w:rsidP="001C40BD">
      <w:pPr>
        <w:jc w:val="both"/>
        <w:rPr>
          <w:rFonts w:eastAsiaTheme="minorEastAsia"/>
        </w:rPr>
      </w:pPr>
      <w:proofErr w:type="gramStart"/>
      <w:r w:rsidRPr="001C40BD">
        <w:rPr>
          <w:rFonts w:eastAsiaTheme="minorEastAsia"/>
        </w:rPr>
        <w:t>Cells(</w:t>
      </w:r>
      <w:proofErr w:type="gramEnd"/>
      <w:r w:rsidRPr="001C40BD">
        <w:rPr>
          <w:rFonts w:eastAsiaTheme="minorEastAsia"/>
        </w:rPr>
        <w:t>4, 20) = Sheets("Data(Step1)").Cells(</w:t>
      </w:r>
      <w:proofErr w:type="spellStart"/>
      <w:r w:rsidRPr="001C40BD">
        <w:rPr>
          <w:rFonts w:eastAsiaTheme="minorEastAsia"/>
        </w:rPr>
        <w:t>i</w:t>
      </w:r>
      <w:proofErr w:type="spellEnd"/>
      <w:r w:rsidRPr="001C40BD">
        <w:rPr>
          <w:rFonts w:eastAsiaTheme="minorEastAsia"/>
        </w:rPr>
        <w:t>, 8)</w:t>
      </w:r>
    </w:p>
    <w:p w:rsidR="001C40BD" w:rsidRPr="001C40BD" w:rsidRDefault="001C40BD" w:rsidP="001C40BD">
      <w:pPr>
        <w:jc w:val="both"/>
        <w:rPr>
          <w:rFonts w:eastAsiaTheme="minorEastAsia"/>
        </w:rPr>
      </w:pPr>
    </w:p>
    <w:p w:rsidR="001C40BD" w:rsidRPr="001C40BD" w:rsidRDefault="001C40BD" w:rsidP="001C40BD">
      <w:pPr>
        <w:jc w:val="both"/>
        <w:rPr>
          <w:rFonts w:eastAsiaTheme="minorEastAsia"/>
        </w:rPr>
      </w:pPr>
      <w:proofErr w:type="gramStart"/>
      <w:r w:rsidRPr="001C40BD">
        <w:rPr>
          <w:rFonts w:eastAsiaTheme="minorEastAsia"/>
        </w:rPr>
        <w:t>' It</w:t>
      </w:r>
      <w:proofErr w:type="gramEnd"/>
      <w:r w:rsidRPr="001C40BD">
        <w:rPr>
          <w:rFonts w:eastAsiaTheme="minorEastAsia"/>
        </w:rPr>
        <w:t xml:space="preserve"> copies the new portfolio standard deviation into a new cell</w:t>
      </w:r>
    </w:p>
    <w:p w:rsidR="001C40BD" w:rsidRPr="001C40BD" w:rsidRDefault="001C40BD" w:rsidP="001C40BD">
      <w:pPr>
        <w:jc w:val="both"/>
        <w:rPr>
          <w:rFonts w:eastAsiaTheme="minorEastAsia"/>
        </w:rPr>
      </w:pPr>
    </w:p>
    <w:p w:rsidR="001C40BD" w:rsidRPr="001C40BD" w:rsidRDefault="001C40BD" w:rsidP="001C40BD">
      <w:pPr>
        <w:jc w:val="both"/>
        <w:rPr>
          <w:rFonts w:eastAsiaTheme="minorEastAsia"/>
        </w:rPr>
      </w:pPr>
      <w:proofErr w:type="gramStart"/>
      <w:r w:rsidRPr="001C40BD">
        <w:rPr>
          <w:rFonts w:eastAsiaTheme="minorEastAsia"/>
        </w:rPr>
        <w:t>Cells(</w:t>
      </w:r>
      <w:proofErr w:type="spellStart"/>
      <w:proofErr w:type="gramEnd"/>
      <w:r w:rsidRPr="001C40BD">
        <w:rPr>
          <w:rFonts w:eastAsiaTheme="minorEastAsia"/>
        </w:rPr>
        <w:t>i</w:t>
      </w:r>
      <w:proofErr w:type="spellEnd"/>
      <w:r w:rsidRPr="001C40BD">
        <w:rPr>
          <w:rFonts w:eastAsiaTheme="minorEastAsia"/>
        </w:rPr>
        <w:t xml:space="preserve"> + 4, 8) = Cells(13, 8)</w:t>
      </w:r>
    </w:p>
    <w:p w:rsidR="001C40BD" w:rsidRPr="001C40BD" w:rsidRDefault="001C40BD" w:rsidP="001C40BD">
      <w:pPr>
        <w:jc w:val="both"/>
        <w:rPr>
          <w:rFonts w:eastAsiaTheme="minorEastAsia"/>
        </w:rPr>
      </w:pPr>
    </w:p>
    <w:p w:rsidR="001C40BD" w:rsidRPr="001C40BD" w:rsidRDefault="001C40BD" w:rsidP="001C40BD">
      <w:pPr>
        <w:jc w:val="both"/>
        <w:rPr>
          <w:rFonts w:eastAsiaTheme="minorEastAsia"/>
        </w:rPr>
      </w:pPr>
      <w:proofErr w:type="gramStart"/>
      <w:r w:rsidRPr="001C40BD">
        <w:rPr>
          <w:rFonts w:eastAsiaTheme="minorEastAsia"/>
        </w:rPr>
        <w:t>' It</w:t>
      </w:r>
      <w:proofErr w:type="gramEnd"/>
      <w:r w:rsidRPr="001C40BD">
        <w:rPr>
          <w:rFonts w:eastAsiaTheme="minorEastAsia"/>
        </w:rPr>
        <w:t xml:space="preserve"> copies the weights of "</w:t>
      </w:r>
      <w:proofErr w:type="spellStart"/>
      <w:r w:rsidRPr="001C40BD">
        <w:rPr>
          <w:rFonts w:eastAsiaTheme="minorEastAsia"/>
        </w:rPr>
        <w:t>Sharpe_Ratios</w:t>
      </w:r>
      <w:proofErr w:type="spellEnd"/>
      <w:r w:rsidRPr="001C40BD">
        <w:rPr>
          <w:rFonts w:eastAsiaTheme="minorEastAsia"/>
        </w:rPr>
        <w:t>(Step2)" into "</w:t>
      </w:r>
      <w:proofErr w:type="spellStart"/>
      <w:r w:rsidRPr="001C40BD">
        <w:rPr>
          <w:rFonts w:eastAsiaTheme="minorEastAsia"/>
        </w:rPr>
        <w:t>Portfolio_Weights</w:t>
      </w:r>
      <w:proofErr w:type="spellEnd"/>
      <w:r w:rsidRPr="001C40BD">
        <w:rPr>
          <w:rFonts w:eastAsiaTheme="minorEastAsia"/>
        </w:rPr>
        <w:t>(Step3)"</w:t>
      </w:r>
    </w:p>
    <w:p w:rsidR="001C40BD" w:rsidRPr="001C40BD" w:rsidRDefault="001C40BD" w:rsidP="001C40BD">
      <w:pPr>
        <w:jc w:val="both"/>
        <w:rPr>
          <w:rFonts w:eastAsiaTheme="minorEastAsia"/>
        </w:rPr>
      </w:pPr>
    </w:p>
    <w:p w:rsidR="001C40BD" w:rsidRPr="001C40BD" w:rsidRDefault="001C40BD" w:rsidP="001C40BD">
      <w:pPr>
        <w:jc w:val="both"/>
        <w:rPr>
          <w:rFonts w:eastAsiaTheme="minorEastAsia"/>
        </w:rPr>
      </w:pPr>
      <w:proofErr w:type="gramStart"/>
      <w:r w:rsidRPr="001C40BD">
        <w:rPr>
          <w:rFonts w:eastAsiaTheme="minorEastAsia"/>
        </w:rPr>
        <w:t>Sheets(</w:t>
      </w:r>
      <w:proofErr w:type="gramEnd"/>
      <w:r w:rsidRPr="001C40BD">
        <w:rPr>
          <w:rFonts w:eastAsiaTheme="minorEastAsia"/>
        </w:rPr>
        <w:t>"</w:t>
      </w:r>
      <w:proofErr w:type="spellStart"/>
      <w:r w:rsidRPr="001C40BD">
        <w:rPr>
          <w:rFonts w:eastAsiaTheme="minorEastAsia"/>
        </w:rPr>
        <w:t>Portfolio_Weights</w:t>
      </w:r>
      <w:proofErr w:type="spellEnd"/>
      <w:r w:rsidRPr="001C40BD">
        <w:rPr>
          <w:rFonts w:eastAsiaTheme="minorEastAsia"/>
        </w:rPr>
        <w:t>(Step3)").Cells(11, 8) = Sheets("</w:t>
      </w:r>
      <w:proofErr w:type="spellStart"/>
      <w:r w:rsidRPr="001C40BD">
        <w:rPr>
          <w:rFonts w:eastAsiaTheme="minorEastAsia"/>
        </w:rPr>
        <w:t>Sharpe_Ratios</w:t>
      </w:r>
      <w:proofErr w:type="spellEnd"/>
      <w:r w:rsidRPr="001C40BD">
        <w:rPr>
          <w:rFonts w:eastAsiaTheme="minorEastAsia"/>
        </w:rPr>
        <w:t>(Step2)").Cells(11, 8)</w:t>
      </w:r>
    </w:p>
    <w:p w:rsidR="001C40BD" w:rsidRPr="001C40BD" w:rsidRDefault="001C40BD" w:rsidP="001C40BD">
      <w:pPr>
        <w:jc w:val="both"/>
        <w:rPr>
          <w:rFonts w:eastAsiaTheme="minorEastAsia"/>
        </w:rPr>
      </w:pPr>
      <w:proofErr w:type="gramStart"/>
      <w:r w:rsidRPr="001C40BD">
        <w:rPr>
          <w:rFonts w:eastAsiaTheme="minorEastAsia"/>
        </w:rPr>
        <w:t>Sheets(</w:t>
      </w:r>
      <w:proofErr w:type="gramEnd"/>
      <w:r w:rsidRPr="001C40BD">
        <w:rPr>
          <w:rFonts w:eastAsiaTheme="minorEastAsia"/>
        </w:rPr>
        <w:t>"</w:t>
      </w:r>
      <w:proofErr w:type="spellStart"/>
      <w:r w:rsidRPr="001C40BD">
        <w:rPr>
          <w:rFonts w:eastAsiaTheme="minorEastAsia"/>
        </w:rPr>
        <w:t>Portfolio_Weights</w:t>
      </w:r>
      <w:proofErr w:type="spellEnd"/>
      <w:r w:rsidRPr="001C40BD">
        <w:rPr>
          <w:rFonts w:eastAsiaTheme="minorEastAsia"/>
        </w:rPr>
        <w:t>(Step3)").Cells(11, 9) = Sheets("</w:t>
      </w:r>
      <w:proofErr w:type="spellStart"/>
      <w:r w:rsidRPr="001C40BD">
        <w:rPr>
          <w:rFonts w:eastAsiaTheme="minorEastAsia"/>
        </w:rPr>
        <w:t>Sharpe_Ratios</w:t>
      </w:r>
      <w:proofErr w:type="spellEnd"/>
      <w:r w:rsidRPr="001C40BD">
        <w:rPr>
          <w:rFonts w:eastAsiaTheme="minorEastAsia"/>
        </w:rPr>
        <w:t>(Step2)").Cells(11, 9)</w:t>
      </w:r>
    </w:p>
    <w:p w:rsidR="001C40BD" w:rsidRPr="001C40BD" w:rsidRDefault="001C40BD" w:rsidP="001C40BD">
      <w:pPr>
        <w:jc w:val="both"/>
        <w:rPr>
          <w:rFonts w:eastAsiaTheme="minorEastAsia"/>
        </w:rPr>
      </w:pPr>
      <w:proofErr w:type="gramStart"/>
      <w:r w:rsidRPr="001C40BD">
        <w:rPr>
          <w:rFonts w:eastAsiaTheme="minorEastAsia"/>
        </w:rPr>
        <w:t>Sheets(</w:t>
      </w:r>
      <w:proofErr w:type="gramEnd"/>
      <w:r w:rsidRPr="001C40BD">
        <w:rPr>
          <w:rFonts w:eastAsiaTheme="minorEastAsia"/>
        </w:rPr>
        <w:t>"</w:t>
      </w:r>
      <w:proofErr w:type="spellStart"/>
      <w:r w:rsidRPr="001C40BD">
        <w:rPr>
          <w:rFonts w:eastAsiaTheme="minorEastAsia"/>
        </w:rPr>
        <w:t>Portfolio_Weights</w:t>
      </w:r>
      <w:proofErr w:type="spellEnd"/>
      <w:r w:rsidRPr="001C40BD">
        <w:rPr>
          <w:rFonts w:eastAsiaTheme="minorEastAsia"/>
        </w:rPr>
        <w:t>(Step3)").Cells(11, 10) = Sheets("</w:t>
      </w:r>
      <w:proofErr w:type="spellStart"/>
      <w:r w:rsidRPr="001C40BD">
        <w:rPr>
          <w:rFonts w:eastAsiaTheme="minorEastAsia"/>
        </w:rPr>
        <w:t>Sharpe_Ratios</w:t>
      </w:r>
      <w:proofErr w:type="spellEnd"/>
      <w:r w:rsidRPr="001C40BD">
        <w:rPr>
          <w:rFonts w:eastAsiaTheme="minorEastAsia"/>
        </w:rPr>
        <w:t>(Step2)").Cells(11, 10)</w:t>
      </w:r>
    </w:p>
    <w:p w:rsidR="001C40BD" w:rsidRPr="001C40BD" w:rsidRDefault="001C40BD" w:rsidP="001C40BD">
      <w:pPr>
        <w:jc w:val="both"/>
        <w:rPr>
          <w:rFonts w:eastAsiaTheme="minorEastAsia"/>
        </w:rPr>
      </w:pPr>
      <w:proofErr w:type="gramStart"/>
      <w:r w:rsidRPr="001C40BD">
        <w:rPr>
          <w:rFonts w:eastAsiaTheme="minorEastAsia"/>
        </w:rPr>
        <w:lastRenderedPageBreak/>
        <w:t>Sheets(</w:t>
      </w:r>
      <w:proofErr w:type="gramEnd"/>
      <w:r w:rsidRPr="001C40BD">
        <w:rPr>
          <w:rFonts w:eastAsiaTheme="minorEastAsia"/>
        </w:rPr>
        <w:t>"</w:t>
      </w:r>
      <w:proofErr w:type="spellStart"/>
      <w:r w:rsidRPr="001C40BD">
        <w:rPr>
          <w:rFonts w:eastAsiaTheme="minorEastAsia"/>
        </w:rPr>
        <w:t>Portfolio_Weights</w:t>
      </w:r>
      <w:proofErr w:type="spellEnd"/>
      <w:r w:rsidRPr="001C40BD">
        <w:rPr>
          <w:rFonts w:eastAsiaTheme="minorEastAsia"/>
        </w:rPr>
        <w:t>(Step3)").Cells(11, 11) = Sheets("</w:t>
      </w:r>
      <w:proofErr w:type="spellStart"/>
      <w:r w:rsidRPr="001C40BD">
        <w:rPr>
          <w:rFonts w:eastAsiaTheme="minorEastAsia"/>
        </w:rPr>
        <w:t>Sharpe_Ratios</w:t>
      </w:r>
      <w:proofErr w:type="spellEnd"/>
      <w:r w:rsidRPr="001C40BD">
        <w:rPr>
          <w:rFonts w:eastAsiaTheme="minorEastAsia"/>
        </w:rPr>
        <w:t>(Step2)").Cells(11, 11)</w:t>
      </w:r>
    </w:p>
    <w:p w:rsidR="001C40BD" w:rsidRPr="001C40BD" w:rsidRDefault="001C40BD" w:rsidP="001C40BD">
      <w:pPr>
        <w:jc w:val="both"/>
        <w:rPr>
          <w:rFonts w:eastAsiaTheme="minorEastAsia"/>
        </w:rPr>
      </w:pPr>
      <w:proofErr w:type="gramStart"/>
      <w:r w:rsidRPr="001C40BD">
        <w:rPr>
          <w:rFonts w:eastAsiaTheme="minorEastAsia"/>
        </w:rPr>
        <w:t>Sheets(</w:t>
      </w:r>
      <w:proofErr w:type="gramEnd"/>
      <w:r w:rsidRPr="001C40BD">
        <w:rPr>
          <w:rFonts w:eastAsiaTheme="minorEastAsia"/>
        </w:rPr>
        <w:t>"</w:t>
      </w:r>
      <w:proofErr w:type="spellStart"/>
      <w:r w:rsidRPr="001C40BD">
        <w:rPr>
          <w:rFonts w:eastAsiaTheme="minorEastAsia"/>
        </w:rPr>
        <w:t>Portfolio_Weights</w:t>
      </w:r>
      <w:proofErr w:type="spellEnd"/>
      <w:r w:rsidRPr="001C40BD">
        <w:rPr>
          <w:rFonts w:eastAsiaTheme="minorEastAsia"/>
        </w:rPr>
        <w:t>(Step3)").Cells(11, 12) = Sheets("</w:t>
      </w:r>
      <w:proofErr w:type="spellStart"/>
      <w:r w:rsidRPr="001C40BD">
        <w:rPr>
          <w:rFonts w:eastAsiaTheme="minorEastAsia"/>
        </w:rPr>
        <w:t>Sharpe_Ratios</w:t>
      </w:r>
      <w:proofErr w:type="spellEnd"/>
      <w:r w:rsidRPr="001C40BD">
        <w:rPr>
          <w:rFonts w:eastAsiaTheme="minorEastAsia"/>
        </w:rPr>
        <w:t>(Step2)").Cells(11, 12)</w:t>
      </w:r>
    </w:p>
    <w:p w:rsidR="001C40BD" w:rsidRPr="001C40BD" w:rsidRDefault="001C40BD" w:rsidP="001C40BD">
      <w:pPr>
        <w:jc w:val="both"/>
        <w:rPr>
          <w:rFonts w:eastAsiaTheme="minorEastAsia"/>
        </w:rPr>
      </w:pPr>
      <w:r w:rsidRPr="001C40BD">
        <w:rPr>
          <w:rFonts w:eastAsiaTheme="minorEastAsia"/>
        </w:rPr>
        <w:t>Next</w:t>
      </w:r>
    </w:p>
    <w:p w:rsidR="001C40BD" w:rsidRPr="001C40BD" w:rsidRDefault="001C40BD" w:rsidP="001C40BD">
      <w:pPr>
        <w:jc w:val="both"/>
        <w:rPr>
          <w:rFonts w:eastAsiaTheme="minorEastAsia"/>
        </w:rPr>
      </w:pPr>
    </w:p>
    <w:p w:rsidR="001C40BD" w:rsidRPr="001C40BD" w:rsidRDefault="001C40BD" w:rsidP="001C40BD">
      <w:pPr>
        <w:jc w:val="both"/>
        <w:rPr>
          <w:rFonts w:eastAsiaTheme="minorEastAsia"/>
        </w:rPr>
      </w:pPr>
      <w:r w:rsidRPr="001C40BD">
        <w:rPr>
          <w:rFonts w:eastAsiaTheme="minorEastAsia"/>
        </w:rPr>
        <w:t>End Sub</w:t>
      </w:r>
    </w:p>
    <w:p w:rsidR="00B14A68" w:rsidRDefault="00B14A68"/>
    <w:p w:rsidR="00C86133" w:rsidRDefault="00C86133"/>
    <w:p w:rsidR="00C86133" w:rsidRPr="001C40BD" w:rsidRDefault="00C86133" w:rsidP="00C86133">
      <w:pPr>
        <w:jc w:val="both"/>
        <w:rPr>
          <w:b/>
          <w:sz w:val="24"/>
          <w:szCs w:val="24"/>
        </w:rPr>
      </w:pPr>
      <w:r w:rsidRPr="001C40BD">
        <w:rPr>
          <w:b/>
          <w:sz w:val="24"/>
          <w:szCs w:val="24"/>
        </w:rPr>
        <w:t>REFERENCES:</w:t>
      </w:r>
    </w:p>
    <w:p w:rsidR="00C86133" w:rsidRPr="00C5298A" w:rsidRDefault="00C86133" w:rsidP="00C86133">
      <w:pPr>
        <w:jc w:val="both"/>
        <w:rPr>
          <w:sz w:val="24"/>
          <w:szCs w:val="24"/>
        </w:rPr>
      </w:pPr>
    </w:p>
    <w:p w:rsidR="00C86133" w:rsidRDefault="00C86133" w:rsidP="00C861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Luenberger</w:t>
      </w:r>
      <w:proofErr w:type="spellEnd"/>
      <w:r>
        <w:rPr>
          <w:sz w:val="24"/>
          <w:szCs w:val="24"/>
        </w:rPr>
        <w:t>, David G. (1998): Investment Science, New York, Oxford University Press.</w:t>
      </w:r>
    </w:p>
    <w:p w:rsidR="00406711" w:rsidRPr="00C5298A" w:rsidRDefault="00406711" w:rsidP="00C861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Adams A., Booth P., Bowie D., </w:t>
      </w:r>
      <w:proofErr w:type="spellStart"/>
      <w:r>
        <w:rPr>
          <w:sz w:val="24"/>
          <w:szCs w:val="24"/>
        </w:rPr>
        <w:t>Freeth</w:t>
      </w:r>
      <w:proofErr w:type="spellEnd"/>
      <w:r>
        <w:rPr>
          <w:sz w:val="24"/>
          <w:szCs w:val="24"/>
        </w:rPr>
        <w:t xml:space="preserve"> D. (2003): Investment Mathematics, </w:t>
      </w:r>
      <w:proofErr w:type="spellStart"/>
      <w:r>
        <w:rPr>
          <w:sz w:val="24"/>
          <w:szCs w:val="24"/>
        </w:rPr>
        <w:t>Wley</w:t>
      </w:r>
      <w:proofErr w:type="spellEnd"/>
      <w:r>
        <w:rPr>
          <w:sz w:val="24"/>
          <w:szCs w:val="24"/>
        </w:rPr>
        <w:t xml:space="preserve"> Finance Series;</w:t>
      </w:r>
    </w:p>
    <w:p w:rsidR="00C86133" w:rsidRDefault="00C86133"/>
    <w:sectPr w:rsidR="00C86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434E6"/>
    <w:multiLevelType w:val="hybridMultilevel"/>
    <w:tmpl w:val="E4308F88"/>
    <w:lvl w:ilvl="0" w:tplc="D7D246F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47005"/>
    <w:multiLevelType w:val="hybridMultilevel"/>
    <w:tmpl w:val="841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D1"/>
    <w:rsid w:val="00026352"/>
    <w:rsid w:val="00027147"/>
    <w:rsid w:val="00063458"/>
    <w:rsid w:val="000A6292"/>
    <w:rsid w:val="001172E9"/>
    <w:rsid w:val="001B0E6C"/>
    <w:rsid w:val="001C40BD"/>
    <w:rsid w:val="0030625E"/>
    <w:rsid w:val="003B6A76"/>
    <w:rsid w:val="003C796B"/>
    <w:rsid w:val="003D4623"/>
    <w:rsid w:val="00402B3B"/>
    <w:rsid w:val="00406711"/>
    <w:rsid w:val="00411493"/>
    <w:rsid w:val="00437575"/>
    <w:rsid w:val="004426B6"/>
    <w:rsid w:val="00475602"/>
    <w:rsid w:val="004E5AEB"/>
    <w:rsid w:val="00514E6E"/>
    <w:rsid w:val="00520B30"/>
    <w:rsid w:val="0052514F"/>
    <w:rsid w:val="005C7131"/>
    <w:rsid w:val="006B17FC"/>
    <w:rsid w:val="006E1F87"/>
    <w:rsid w:val="007F05E3"/>
    <w:rsid w:val="00804EEF"/>
    <w:rsid w:val="00922E62"/>
    <w:rsid w:val="00983936"/>
    <w:rsid w:val="009B02DA"/>
    <w:rsid w:val="009F4761"/>
    <w:rsid w:val="00A23F78"/>
    <w:rsid w:val="00AA74F9"/>
    <w:rsid w:val="00AB7C21"/>
    <w:rsid w:val="00B14A68"/>
    <w:rsid w:val="00B301C4"/>
    <w:rsid w:val="00B85B60"/>
    <w:rsid w:val="00BF4098"/>
    <w:rsid w:val="00C73BD1"/>
    <w:rsid w:val="00C86133"/>
    <w:rsid w:val="00CA6E13"/>
    <w:rsid w:val="00CA7699"/>
    <w:rsid w:val="00CF555C"/>
    <w:rsid w:val="00D00E77"/>
    <w:rsid w:val="00D61B80"/>
    <w:rsid w:val="00D72997"/>
    <w:rsid w:val="00D91295"/>
    <w:rsid w:val="00EB3AF8"/>
    <w:rsid w:val="00EB64D0"/>
    <w:rsid w:val="00EE1114"/>
    <w:rsid w:val="00EE60D5"/>
    <w:rsid w:val="00F3708C"/>
    <w:rsid w:val="00F3796D"/>
    <w:rsid w:val="00F50571"/>
    <w:rsid w:val="00F50ECC"/>
    <w:rsid w:val="00F550F7"/>
    <w:rsid w:val="00F61158"/>
    <w:rsid w:val="00FC2F96"/>
    <w:rsid w:val="00FC3306"/>
    <w:rsid w:val="00F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1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75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5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23F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1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75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5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23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exas.edu/courses/lasdon/design3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lver.com/suppstdgrgsto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1E3D-3FA5-4332-9E7E-620FD1E4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27</cp:revision>
  <dcterms:created xsi:type="dcterms:W3CDTF">2011-12-07T14:07:00Z</dcterms:created>
  <dcterms:modified xsi:type="dcterms:W3CDTF">2011-12-11T17:52:00Z</dcterms:modified>
</cp:coreProperties>
</file>